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6EEE9" w14:textId="01E4238E" w:rsidR="00F7775C" w:rsidRPr="006833C4" w:rsidRDefault="00F7775C" w:rsidP="00F7775C">
      <w:pPr>
        <w:ind w:left="360" w:hanging="360"/>
        <w:jc w:val="center"/>
        <w:rPr>
          <w:b/>
          <w:lang w:val="en-GB"/>
        </w:rPr>
      </w:pPr>
      <w:bookmarkStart w:id="0" w:name="_GoBack"/>
      <w:bookmarkEnd w:id="0"/>
      <w:r w:rsidRPr="00F7775C">
        <w:rPr>
          <w:b/>
          <w:sz w:val="28"/>
          <w:lang w:val="en-GB"/>
        </w:rPr>
        <w:t>SECTORAL AND TECHNOLOGICAL ANALYSIS INTO THE ORIGINS AND DETERMINANTS OF THE EUROZONE’S ECONOMIC INEQUALITY</w:t>
      </w:r>
      <w:r w:rsidR="003708C8">
        <w:rPr>
          <w:rStyle w:val="FootnoteReference"/>
          <w:b/>
          <w:sz w:val="28"/>
          <w:lang w:val="en-GB"/>
        </w:rPr>
        <w:footnoteReference w:id="1"/>
      </w:r>
    </w:p>
    <w:p w14:paraId="0B7B5C4D" w14:textId="77777777" w:rsidR="00CE6038" w:rsidRPr="00DC1C9B" w:rsidRDefault="00CE6038">
      <w:pPr>
        <w:jc w:val="center"/>
        <w:rPr>
          <w:b/>
          <w:bCs/>
          <w:lang w:val="en-GB"/>
        </w:rPr>
      </w:pPr>
    </w:p>
    <w:p w14:paraId="1690BDC2" w14:textId="77777777" w:rsidR="00DC1C9B" w:rsidRPr="00DC1C9B" w:rsidRDefault="00DC1C9B" w:rsidP="006F7B76">
      <w:pPr>
        <w:rPr>
          <w:b/>
          <w:bCs/>
          <w:lang w:val="en-GB"/>
        </w:rPr>
      </w:pPr>
    </w:p>
    <w:p w14:paraId="4F8F31D9" w14:textId="7F075F72" w:rsidR="00F7775C" w:rsidRPr="00990F88" w:rsidRDefault="00F7775C" w:rsidP="00F7775C">
      <w:pPr>
        <w:pStyle w:val="Heading1"/>
        <w:contextualSpacing/>
        <w:rPr>
          <w:sz w:val="22"/>
          <w:lang w:val="en-US"/>
        </w:rPr>
      </w:pPr>
      <w:r w:rsidRPr="00990F88">
        <w:rPr>
          <w:sz w:val="22"/>
          <w:lang w:val="en-US"/>
        </w:rPr>
        <w:t xml:space="preserve">Ivan Rubinić, mag. </w:t>
      </w:r>
      <w:proofErr w:type="spellStart"/>
      <w:r w:rsidRPr="00990F88">
        <w:rPr>
          <w:sz w:val="22"/>
          <w:lang w:val="en-US"/>
        </w:rPr>
        <w:t>oec</w:t>
      </w:r>
      <w:proofErr w:type="spellEnd"/>
      <w:r w:rsidRPr="00990F88">
        <w:rPr>
          <w:sz w:val="22"/>
          <w:lang w:val="en-US"/>
        </w:rPr>
        <w:t>.</w:t>
      </w:r>
    </w:p>
    <w:p w14:paraId="437823BB" w14:textId="77777777" w:rsidR="00F7775C" w:rsidRPr="00595FF3" w:rsidRDefault="00F7775C" w:rsidP="00F7775C">
      <w:pPr>
        <w:contextualSpacing/>
        <w:jc w:val="center"/>
        <w:rPr>
          <w:color w:val="000000" w:themeColor="text1"/>
          <w:sz w:val="22"/>
        </w:rPr>
      </w:pPr>
      <w:r w:rsidRPr="00595FF3">
        <w:rPr>
          <w:color w:val="000000" w:themeColor="text1"/>
          <w:sz w:val="22"/>
        </w:rPr>
        <w:t>Faculty of Law, University of Rijeka/Assistant at the Economics Department</w:t>
      </w:r>
    </w:p>
    <w:p w14:paraId="72FF84DD" w14:textId="77777777" w:rsidR="00F7775C" w:rsidRPr="00990F88" w:rsidRDefault="00F7775C" w:rsidP="00F7775C">
      <w:pPr>
        <w:contextualSpacing/>
        <w:jc w:val="center"/>
        <w:rPr>
          <w:caps/>
          <w:sz w:val="22"/>
        </w:rPr>
      </w:pPr>
      <w:proofErr w:type="spellStart"/>
      <w:r w:rsidRPr="00990F88">
        <w:rPr>
          <w:sz w:val="22"/>
        </w:rPr>
        <w:t>Hahlić</w:t>
      </w:r>
      <w:proofErr w:type="spellEnd"/>
      <w:r w:rsidRPr="00990F88">
        <w:rPr>
          <w:sz w:val="22"/>
        </w:rPr>
        <w:t xml:space="preserve"> 6, 51000 Rijeka, Croatia</w:t>
      </w:r>
    </w:p>
    <w:p w14:paraId="4F98FA83" w14:textId="77777777" w:rsidR="00F7775C" w:rsidRPr="00990F88" w:rsidRDefault="00F7775C" w:rsidP="00F7775C">
      <w:pPr>
        <w:contextualSpacing/>
        <w:jc w:val="center"/>
        <w:rPr>
          <w:sz w:val="22"/>
        </w:rPr>
      </w:pPr>
      <w:r w:rsidRPr="00990F88">
        <w:rPr>
          <w:sz w:val="22"/>
        </w:rPr>
        <w:t>Phone: +385 51 359-500; Fax: +385 51 359 593</w:t>
      </w:r>
    </w:p>
    <w:p w14:paraId="3ACF408B" w14:textId="60309380" w:rsidR="00F7775C" w:rsidRPr="00F7775C" w:rsidRDefault="00F7775C" w:rsidP="00F7775C">
      <w:pPr>
        <w:contextualSpacing/>
        <w:jc w:val="center"/>
        <w:rPr>
          <w:color w:val="000000" w:themeColor="text1"/>
          <w:sz w:val="22"/>
        </w:rPr>
      </w:pPr>
      <w:r w:rsidRPr="00F7775C">
        <w:rPr>
          <w:color w:val="000000" w:themeColor="text1"/>
          <w:sz w:val="22"/>
        </w:rPr>
        <w:t xml:space="preserve">E-mail: </w:t>
      </w:r>
      <w:r w:rsidRPr="00F7775C">
        <w:rPr>
          <w:rStyle w:val="Hyperlink"/>
          <w:color w:val="000000" w:themeColor="text1"/>
          <w:sz w:val="22"/>
          <w:u w:val="none"/>
        </w:rPr>
        <w:t>irubinic1@pravri.hr</w:t>
      </w:r>
    </w:p>
    <w:p w14:paraId="61576E68" w14:textId="42977230" w:rsidR="00CE6038" w:rsidRDefault="00CE6038">
      <w:pPr>
        <w:jc w:val="center"/>
      </w:pPr>
    </w:p>
    <w:p w14:paraId="17C8B43A" w14:textId="1E597C4A" w:rsidR="00F7775C" w:rsidRPr="00990F88" w:rsidRDefault="00F7775C" w:rsidP="00F7775C">
      <w:pPr>
        <w:pStyle w:val="Heading1"/>
        <w:contextualSpacing/>
        <w:rPr>
          <w:sz w:val="22"/>
          <w:lang w:val="en-US"/>
        </w:rPr>
      </w:pPr>
      <w:r>
        <w:rPr>
          <w:sz w:val="22"/>
          <w:lang w:val="en-US"/>
        </w:rPr>
        <w:t xml:space="preserve">Nina </w:t>
      </w:r>
      <w:proofErr w:type="spellStart"/>
      <w:r>
        <w:rPr>
          <w:sz w:val="22"/>
          <w:lang w:val="en-US"/>
        </w:rPr>
        <w:t>Ponikvar</w:t>
      </w:r>
      <w:proofErr w:type="spellEnd"/>
      <w:r w:rsidRPr="00990F88">
        <w:rPr>
          <w:sz w:val="22"/>
          <w:lang w:val="en-US"/>
        </w:rPr>
        <w:t>, PhD</w:t>
      </w:r>
    </w:p>
    <w:p w14:paraId="09B6C0C2" w14:textId="7BCB30AD" w:rsidR="00F7775C" w:rsidRPr="00990F88" w:rsidRDefault="00F7775C" w:rsidP="00F7775C">
      <w:pPr>
        <w:contextualSpacing/>
        <w:jc w:val="center"/>
        <w:rPr>
          <w:sz w:val="22"/>
        </w:rPr>
      </w:pPr>
      <w:r w:rsidRPr="00990F88">
        <w:rPr>
          <w:sz w:val="22"/>
        </w:rPr>
        <w:t>Faculty of Economics, University of Ljubljana/</w:t>
      </w:r>
      <w:r>
        <w:rPr>
          <w:sz w:val="22"/>
        </w:rPr>
        <w:t>Associate</w:t>
      </w:r>
      <w:r w:rsidRPr="00990F88">
        <w:rPr>
          <w:sz w:val="22"/>
        </w:rPr>
        <w:t xml:space="preserve"> Professor</w:t>
      </w:r>
    </w:p>
    <w:p w14:paraId="430D81FB" w14:textId="77777777" w:rsidR="00F7775C" w:rsidRPr="00990F88" w:rsidRDefault="00F7775C" w:rsidP="00F7775C">
      <w:pPr>
        <w:contextualSpacing/>
        <w:jc w:val="center"/>
        <w:rPr>
          <w:caps/>
          <w:sz w:val="22"/>
        </w:rPr>
      </w:pPr>
      <w:proofErr w:type="spellStart"/>
      <w:r w:rsidRPr="00990F88">
        <w:rPr>
          <w:sz w:val="22"/>
        </w:rPr>
        <w:t>Kardeljeva</w:t>
      </w:r>
      <w:proofErr w:type="spellEnd"/>
      <w:r w:rsidRPr="00990F88">
        <w:rPr>
          <w:sz w:val="22"/>
        </w:rPr>
        <w:t xml:space="preserve"> </w:t>
      </w:r>
      <w:proofErr w:type="spellStart"/>
      <w:r w:rsidRPr="00990F88">
        <w:rPr>
          <w:sz w:val="22"/>
        </w:rPr>
        <w:t>ploščad</w:t>
      </w:r>
      <w:proofErr w:type="spellEnd"/>
      <w:r w:rsidRPr="00990F88">
        <w:rPr>
          <w:sz w:val="22"/>
        </w:rPr>
        <w:t xml:space="preserve"> 17, 1000 Ljubljana, Slovenia</w:t>
      </w:r>
    </w:p>
    <w:p w14:paraId="78405A2A" w14:textId="7EE7789E" w:rsidR="00F7775C" w:rsidRPr="00990F88" w:rsidRDefault="00F7775C" w:rsidP="00F7775C">
      <w:pPr>
        <w:contextualSpacing/>
        <w:jc w:val="center"/>
        <w:rPr>
          <w:sz w:val="22"/>
        </w:rPr>
      </w:pPr>
      <w:r w:rsidRPr="00990F88">
        <w:rPr>
          <w:sz w:val="22"/>
        </w:rPr>
        <w:t xml:space="preserve">Phone: +386 1 </w:t>
      </w:r>
      <w:r>
        <w:rPr>
          <w:sz w:val="22"/>
        </w:rPr>
        <w:t>5892/576</w:t>
      </w:r>
      <w:r w:rsidRPr="00990F88">
        <w:rPr>
          <w:sz w:val="22"/>
        </w:rPr>
        <w:t>; Fax: +386 1 5892-698</w:t>
      </w:r>
    </w:p>
    <w:p w14:paraId="57CFF13F" w14:textId="5A727692" w:rsidR="00F7775C" w:rsidRPr="00990F88" w:rsidRDefault="00F7775C" w:rsidP="00F7775C">
      <w:pPr>
        <w:contextualSpacing/>
        <w:jc w:val="center"/>
        <w:rPr>
          <w:sz w:val="22"/>
        </w:rPr>
      </w:pPr>
      <w:r w:rsidRPr="00990F88">
        <w:rPr>
          <w:sz w:val="22"/>
        </w:rPr>
        <w:t xml:space="preserve">E-mail: </w:t>
      </w:r>
      <w:r>
        <w:rPr>
          <w:sz w:val="22"/>
        </w:rPr>
        <w:t>nina</w:t>
      </w:r>
      <w:r w:rsidRPr="00990F88">
        <w:rPr>
          <w:sz w:val="22"/>
        </w:rPr>
        <w:t>.</w:t>
      </w:r>
      <w:r>
        <w:rPr>
          <w:sz w:val="22"/>
        </w:rPr>
        <w:t>ponikvar</w:t>
      </w:r>
      <w:r w:rsidRPr="00990F88">
        <w:rPr>
          <w:sz w:val="22"/>
        </w:rPr>
        <w:t>@ef.uni-lj.si</w:t>
      </w:r>
    </w:p>
    <w:p w14:paraId="48274801" w14:textId="77777777" w:rsidR="00F7775C" w:rsidRPr="00DC1C9B" w:rsidRDefault="00F7775C" w:rsidP="00F7775C">
      <w:pPr>
        <w:jc w:val="center"/>
      </w:pPr>
    </w:p>
    <w:p w14:paraId="0C4E4ABC" w14:textId="77777777" w:rsidR="00F7775C" w:rsidRPr="00990F88" w:rsidRDefault="00F7775C" w:rsidP="00F7775C">
      <w:pPr>
        <w:pStyle w:val="Heading1"/>
        <w:contextualSpacing/>
        <w:rPr>
          <w:sz w:val="22"/>
          <w:lang w:val="en-US"/>
        </w:rPr>
      </w:pPr>
      <w:proofErr w:type="spellStart"/>
      <w:r w:rsidRPr="00990F88">
        <w:rPr>
          <w:sz w:val="22"/>
          <w:lang w:val="en-US"/>
        </w:rPr>
        <w:t>Maks</w:t>
      </w:r>
      <w:proofErr w:type="spellEnd"/>
      <w:r w:rsidRPr="00990F88">
        <w:rPr>
          <w:sz w:val="22"/>
          <w:lang w:val="en-US"/>
        </w:rPr>
        <w:t xml:space="preserve"> </w:t>
      </w:r>
      <w:proofErr w:type="spellStart"/>
      <w:r w:rsidRPr="00990F88">
        <w:rPr>
          <w:sz w:val="22"/>
          <w:lang w:val="en-US"/>
        </w:rPr>
        <w:t>Tajnikar</w:t>
      </w:r>
      <w:proofErr w:type="spellEnd"/>
      <w:r w:rsidRPr="00990F88">
        <w:rPr>
          <w:sz w:val="22"/>
          <w:lang w:val="en-US"/>
        </w:rPr>
        <w:t>, PhD</w:t>
      </w:r>
    </w:p>
    <w:p w14:paraId="3295C140" w14:textId="77777777" w:rsidR="00F7775C" w:rsidRPr="00990F88" w:rsidRDefault="00F7775C" w:rsidP="00F7775C">
      <w:pPr>
        <w:contextualSpacing/>
        <w:jc w:val="center"/>
        <w:rPr>
          <w:sz w:val="22"/>
        </w:rPr>
      </w:pPr>
      <w:r w:rsidRPr="00990F88">
        <w:rPr>
          <w:sz w:val="22"/>
        </w:rPr>
        <w:t>Faculty of Economics, University of Ljubljana/Full Professor</w:t>
      </w:r>
    </w:p>
    <w:p w14:paraId="36237B82" w14:textId="77777777" w:rsidR="00F7775C" w:rsidRPr="00990F88" w:rsidRDefault="00F7775C" w:rsidP="00F7775C">
      <w:pPr>
        <w:contextualSpacing/>
        <w:jc w:val="center"/>
        <w:rPr>
          <w:caps/>
          <w:sz w:val="22"/>
        </w:rPr>
      </w:pPr>
      <w:proofErr w:type="spellStart"/>
      <w:r w:rsidRPr="00990F88">
        <w:rPr>
          <w:sz w:val="22"/>
        </w:rPr>
        <w:t>Kardeljeva</w:t>
      </w:r>
      <w:proofErr w:type="spellEnd"/>
      <w:r w:rsidRPr="00990F88">
        <w:rPr>
          <w:sz w:val="22"/>
        </w:rPr>
        <w:t xml:space="preserve"> </w:t>
      </w:r>
      <w:proofErr w:type="spellStart"/>
      <w:r w:rsidRPr="00990F88">
        <w:rPr>
          <w:sz w:val="22"/>
        </w:rPr>
        <w:t>ploščad</w:t>
      </w:r>
      <w:proofErr w:type="spellEnd"/>
      <w:r w:rsidRPr="00990F88">
        <w:rPr>
          <w:sz w:val="22"/>
        </w:rPr>
        <w:t xml:space="preserve"> 17, 1000 Ljubljana, Slovenia</w:t>
      </w:r>
    </w:p>
    <w:p w14:paraId="0A45FA1B" w14:textId="77777777" w:rsidR="00F7775C" w:rsidRPr="00990F88" w:rsidRDefault="00F7775C" w:rsidP="00F7775C">
      <w:pPr>
        <w:contextualSpacing/>
        <w:jc w:val="center"/>
        <w:rPr>
          <w:sz w:val="22"/>
        </w:rPr>
      </w:pPr>
      <w:r w:rsidRPr="00990F88">
        <w:rPr>
          <w:sz w:val="22"/>
        </w:rPr>
        <w:t>Phone: +386 1 5892-574; Fax: +386 1 5892-698</w:t>
      </w:r>
    </w:p>
    <w:p w14:paraId="3998830C" w14:textId="77777777" w:rsidR="00F7775C" w:rsidRPr="00990F88" w:rsidRDefault="00F7775C" w:rsidP="00F7775C">
      <w:pPr>
        <w:contextualSpacing/>
        <w:jc w:val="center"/>
        <w:rPr>
          <w:sz w:val="22"/>
        </w:rPr>
      </w:pPr>
      <w:r w:rsidRPr="00990F88">
        <w:rPr>
          <w:sz w:val="22"/>
        </w:rPr>
        <w:t>E-mail: maks.tajnikar@ef.uni-lj.si</w:t>
      </w:r>
    </w:p>
    <w:p w14:paraId="0B629822" w14:textId="77777777" w:rsidR="00DC1C9B" w:rsidRPr="00DC1C9B" w:rsidRDefault="00DC1C9B">
      <w:pPr>
        <w:jc w:val="center"/>
        <w:rPr>
          <w:b/>
          <w:bCs/>
          <w:lang w:val="en-GB"/>
        </w:rPr>
      </w:pPr>
    </w:p>
    <w:p w14:paraId="704C97E7" w14:textId="77777777" w:rsidR="00F7775C" w:rsidRPr="00F7775C" w:rsidRDefault="00DC1C9B" w:rsidP="00F7775C">
      <w:pPr>
        <w:ind w:left="1440" w:hanging="1440"/>
        <w:rPr>
          <w:i/>
          <w:lang w:val="en-GB"/>
        </w:rPr>
      </w:pPr>
      <w:r w:rsidRPr="00DC1C9B">
        <w:rPr>
          <w:b/>
          <w:bCs/>
          <w:lang w:val="en-GB"/>
        </w:rPr>
        <w:t xml:space="preserve">Key words: </w:t>
      </w:r>
      <w:r w:rsidRPr="00DC1C9B">
        <w:rPr>
          <w:b/>
          <w:bCs/>
          <w:lang w:val="en-GB"/>
        </w:rPr>
        <w:tab/>
      </w:r>
      <w:r w:rsidR="00F7775C" w:rsidRPr="00F7775C">
        <w:rPr>
          <w:i/>
          <w:lang w:val="en-GB"/>
        </w:rPr>
        <w:t>Economic inequality, Unequal labour exchange, Structural composition analysis</w:t>
      </w:r>
    </w:p>
    <w:p w14:paraId="456C6D22" w14:textId="77777777" w:rsidR="00F7775C" w:rsidRPr="006833C4" w:rsidRDefault="00F7775C" w:rsidP="00F7775C">
      <w:pPr>
        <w:rPr>
          <w:lang w:val="en-GB"/>
        </w:rPr>
      </w:pPr>
    </w:p>
    <w:p w14:paraId="357FDE98" w14:textId="739F1DA2" w:rsidR="006A63EC" w:rsidRPr="007107DE" w:rsidRDefault="006A63EC" w:rsidP="007107DE">
      <w:pPr>
        <w:jc w:val="both"/>
        <w:rPr>
          <w:bCs/>
          <w:i/>
          <w:iCs/>
          <w:lang w:val="en-GB"/>
        </w:rPr>
      </w:pPr>
      <w:r>
        <w:rPr>
          <w:b/>
          <w:sz w:val="22"/>
          <w:lang w:val="en-GB"/>
        </w:rPr>
        <w:t xml:space="preserve">JEL codes: </w:t>
      </w:r>
      <w:r>
        <w:rPr>
          <w:b/>
          <w:sz w:val="22"/>
          <w:lang w:val="en-GB"/>
        </w:rPr>
        <w:tab/>
      </w:r>
      <w:r w:rsidR="00F7775C" w:rsidRPr="00F7775C">
        <w:rPr>
          <w:i/>
          <w:lang w:val="en-GB"/>
        </w:rPr>
        <w:t>B51, D63, F02</w:t>
      </w:r>
    </w:p>
    <w:p w14:paraId="058B45DD" w14:textId="77777777" w:rsidR="00CE6038" w:rsidRDefault="00CE6038">
      <w:pPr>
        <w:jc w:val="both"/>
        <w:rPr>
          <w:b/>
          <w:bCs/>
          <w:lang w:val="en-GB"/>
        </w:rPr>
      </w:pPr>
    </w:p>
    <w:p w14:paraId="4B03DE31" w14:textId="77777777" w:rsidR="00DC1C9B" w:rsidRDefault="001A1B0A">
      <w:pPr>
        <w:jc w:val="both"/>
        <w:rPr>
          <w:b/>
          <w:bCs/>
          <w:lang w:val="hr-HR"/>
        </w:rPr>
      </w:pPr>
      <w:r>
        <w:rPr>
          <w:b/>
          <w:bCs/>
          <w:lang w:val="hr-HR"/>
        </w:rPr>
        <w:t>ABSTRACT</w:t>
      </w:r>
    </w:p>
    <w:p w14:paraId="6E6FCC66" w14:textId="77777777" w:rsidR="001A1B0A" w:rsidRDefault="001A1B0A" w:rsidP="001A1B0A">
      <w:pPr>
        <w:jc w:val="both"/>
        <w:rPr>
          <w:sz w:val="22"/>
          <w:lang w:val="en-GB"/>
        </w:rPr>
      </w:pPr>
    </w:p>
    <w:p w14:paraId="6DFFC017" w14:textId="73CEDFA8" w:rsidR="001A1B0A" w:rsidRPr="006F7B76" w:rsidRDefault="006D5876">
      <w:pPr>
        <w:jc w:val="both"/>
        <w:rPr>
          <w:lang w:val="en-GB"/>
        </w:rPr>
      </w:pPr>
      <w:r w:rsidRPr="006833C4">
        <w:rPr>
          <w:lang w:val="en-GB"/>
        </w:rPr>
        <w:t>The purpose of this study is to furnish empirical content</w:t>
      </w:r>
      <w:r>
        <w:rPr>
          <w:lang w:val="en-GB"/>
        </w:rPr>
        <w:t xml:space="preserve"> upon the premise that the Eurozone’s cross-country inequalities arise from country-specific structures. Drawing on the concept of unequal exchange, inspired by </w:t>
      </w:r>
      <w:proofErr w:type="spellStart"/>
      <w:r>
        <w:rPr>
          <w:lang w:val="en-GB"/>
        </w:rPr>
        <w:t>Prebisch</w:t>
      </w:r>
      <w:proofErr w:type="spellEnd"/>
      <w:r>
        <w:rPr>
          <w:lang w:val="en-GB"/>
        </w:rPr>
        <w:t xml:space="preserve">-Singer, Lewis, and Emmanuel, the authors investigate whether the </w:t>
      </w:r>
      <w:r w:rsidR="00D7606A">
        <w:rPr>
          <w:lang w:val="en-GB"/>
        </w:rPr>
        <w:t xml:space="preserve">national </w:t>
      </w:r>
      <w:r>
        <w:rPr>
          <w:lang w:val="en-GB"/>
        </w:rPr>
        <w:t xml:space="preserve">sectoral and technological compositions, through international trade, distort the equivalence between the national product received and inputs used. The quantitative analysis for the period between 2003-2016 demonstrated that the geographical distribution of the economic output is disproportionate to the labour consumed in its production. </w:t>
      </w:r>
      <w:r w:rsidR="0078300A">
        <w:rPr>
          <w:lang w:val="en-GB"/>
        </w:rPr>
        <w:t>Hence, the</w:t>
      </w:r>
      <w:r>
        <w:rPr>
          <w:lang w:val="en-GB"/>
        </w:rPr>
        <w:t xml:space="preserve"> Eurozone’s inequality remained rooted in the market disequilibria, distinct capital intensities, and distinct economic efficiencies. Th</w:t>
      </w:r>
      <w:r w:rsidR="0078300A">
        <w:rPr>
          <w:lang w:val="en-GB"/>
        </w:rPr>
        <w:t>is</w:t>
      </w:r>
      <w:r>
        <w:rPr>
          <w:lang w:val="en-GB"/>
        </w:rPr>
        <w:t xml:space="preserve"> research disclosed that the sectoral and technological compositions are crucial components of inequality determinants, manifesting through the divergence in profit and wage rates, social recognition of the labour consumed, and exploitation rates. Accordingly, the Eurozone’s structure intrinsically contradicts the aims of an effective single market. Given the lack of adequate corrective institutes, to prevent disintegrating tendencies, this investigation must be used as the platform for re-questioning the Eurozone’s neoliberal policy discourse. A detrimental narrative centred around the price stability ahead of full employment which favours the interest of capital over labour and affluent countries over destitute ones.</w:t>
      </w:r>
    </w:p>
    <w:p w14:paraId="5E5E7C5F" w14:textId="1F6B2042" w:rsidR="00186CE3" w:rsidRPr="00843F00" w:rsidRDefault="001A1B0A" w:rsidP="00186CE3">
      <w:pPr>
        <w:pStyle w:val="ListParagraph"/>
        <w:numPr>
          <w:ilvl w:val="0"/>
          <w:numId w:val="13"/>
        </w:numPr>
        <w:rPr>
          <w:b/>
          <w:lang w:val="en-GB"/>
        </w:rPr>
      </w:pPr>
      <w:r>
        <w:rPr>
          <w:b/>
          <w:bCs/>
          <w:lang w:val="en-GB"/>
        </w:rPr>
        <w:br w:type="page"/>
      </w:r>
      <w:r w:rsidR="00186CE3" w:rsidRPr="00843F00">
        <w:rPr>
          <w:b/>
          <w:lang w:val="en-GB"/>
        </w:rPr>
        <w:lastRenderedPageBreak/>
        <w:t>I</w:t>
      </w:r>
      <w:r w:rsidR="00D51097">
        <w:rPr>
          <w:b/>
          <w:lang w:val="en-GB"/>
        </w:rPr>
        <w:t>NTRODUCTION</w:t>
      </w:r>
    </w:p>
    <w:p w14:paraId="69D629EB" w14:textId="77777777" w:rsidR="00186CE3" w:rsidRPr="006833C4" w:rsidRDefault="00186CE3" w:rsidP="00186CE3">
      <w:pPr>
        <w:rPr>
          <w:lang w:val="en-GB"/>
        </w:rPr>
      </w:pPr>
    </w:p>
    <w:p w14:paraId="5812FB4E" w14:textId="77777777" w:rsidR="00186CE3" w:rsidRDefault="00186CE3" w:rsidP="00186CE3">
      <w:pPr>
        <w:jc w:val="both"/>
        <w:rPr>
          <w:lang w:val="en-GB"/>
        </w:rPr>
      </w:pPr>
      <w:r>
        <w:rPr>
          <w:lang w:val="en-GB"/>
        </w:rPr>
        <w:t xml:space="preserve">The admirable achievement of European peace, built upon equality, cohesion, and solidarity amongst countries, faces its biggest challenge thus far. The </w:t>
      </w:r>
      <w:r w:rsidRPr="00FB402C">
        <w:rPr>
          <w:lang w:val="en-GB"/>
        </w:rPr>
        <w:t>influx of works on inequality, trending in public debates and</w:t>
      </w:r>
      <w:r w:rsidRPr="006833C4">
        <w:rPr>
          <w:lang w:val="en-GB"/>
        </w:rPr>
        <w:t xml:space="preserve"> </w:t>
      </w:r>
      <w:r>
        <w:rPr>
          <w:lang w:val="en-GB"/>
        </w:rPr>
        <w:t>academic</w:t>
      </w:r>
      <w:r w:rsidRPr="006833C4">
        <w:rPr>
          <w:lang w:val="en-GB"/>
        </w:rPr>
        <w:t xml:space="preserve"> writings</w:t>
      </w:r>
      <w:r>
        <w:rPr>
          <w:lang w:val="en-GB"/>
        </w:rPr>
        <w:t>, is a straightforward confirmation that the current state of affairs is drifting apart from the desired one. This contradicts the formal alliance of the European countries in pursuit of their ideals and threatens the very existence of their undertaking. It is apparent that the outlined goals of sustainable development, price stability, competitive markets, and full employment are unlikely to be carried out within the cross-country institutional setting. The authors link such an outcome to the excessive cross-country inequalities being the structural component and the antithesis to the economic integration, whose eradication is the imperative towards achieving long-term prosperity.</w:t>
      </w:r>
    </w:p>
    <w:p w14:paraId="6B3FBE7E" w14:textId="77777777" w:rsidR="00186CE3" w:rsidRDefault="00186CE3" w:rsidP="00186CE3">
      <w:pPr>
        <w:jc w:val="both"/>
        <w:rPr>
          <w:lang w:val="en-GB"/>
        </w:rPr>
      </w:pPr>
    </w:p>
    <w:p w14:paraId="077BDBD7" w14:textId="77777777" w:rsidR="00186CE3" w:rsidRDefault="00186CE3" w:rsidP="00186CE3">
      <w:pPr>
        <w:jc w:val="both"/>
        <w:rPr>
          <w:lang w:val="en-GB"/>
        </w:rPr>
      </w:pPr>
      <w:r>
        <w:rPr>
          <w:lang w:val="en-GB"/>
        </w:rPr>
        <w:t xml:space="preserve">The inquiry into the European inequalities departs from the notion that they are exacerbated in two ways. Firstly, the increasing within-country inequality (Piketty, 2014; </w:t>
      </w:r>
      <w:proofErr w:type="spellStart"/>
      <w:r>
        <w:rPr>
          <w:lang w:val="en-GB"/>
        </w:rPr>
        <w:t>Milanović</w:t>
      </w:r>
      <w:proofErr w:type="spellEnd"/>
      <w:r>
        <w:rPr>
          <w:lang w:val="en-GB"/>
        </w:rPr>
        <w:t xml:space="preserve">, 2016; World Inequality Lab, 2017) divides the rich citizens from the poor ones. Secondly, the growing cross-country inequality, accountable for the majority of the overall inequality (Anand and Segal, 2015), divides the countries between the affluent and the destitute. It bears mentioning that the cross-country inequality dominance is explained by </w:t>
      </w:r>
      <w:proofErr w:type="spellStart"/>
      <w:r w:rsidRPr="006161EC">
        <w:rPr>
          <w:color w:val="000000" w:themeColor="text1"/>
          <w:lang w:val="en-GB"/>
        </w:rPr>
        <w:t>Milanović’s</w:t>
      </w:r>
      <w:proofErr w:type="spellEnd"/>
      <w:r w:rsidRPr="006161EC">
        <w:rPr>
          <w:color w:val="000000" w:themeColor="text1"/>
          <w:lang w:val="en-GB"/>
        </w:rPr>
        <w:t xml:space="preserve"> citizenship </w:t>
      </w:r>
      <w:r>
        <w:rPr>
          <w:color w:val="000000" w:themeColor="text1"/>
          <w:lang w:val="en-GB"/>
        </w:rPr>
        <w:t>premium</w:t>
      </w:r>
      <w:r w:rsidRPr="006161EC">
        <w:rPr>
          <w:color w:val="000000" w:themeColor="text1"/>
          <w:lang w:val="en-GB"/>
        </w:rPr>
        <w:t xml:space="preserve"> (2016)</w:t>
      </w:r>
      <w:r>
        <w:rPr>
          <w:color w:val="000000" w:themeColor="text1"/>
          <w:lang w:val="en-GB"/>
        </w:rPr>
        <w:t xml:space="preserve">, determining up to two-thirds of the individual lifetime income, and </w:t>
      </w:r>
      <w:r w:rsidRPr="006161EC">
        <w:rPr>
          <w:color w:val="000000" w:themeColor="text1"/>
          <w:lang w:val="en-GB"/>
        </w:rPr>
        <w:t>Galbraith’s</w:t>
      </w:r>
      <w:r>
        <w:rPr>
          <w:color w:val="000000" w:themeColor="text1"/>
          <w:lang w:val="en-GB"/>
        </w:rPr>
        <w:t xml:space="preserve"> (2016) assertion that nationality equates to economic destiny. T</w:t>
      </w:r>
      <w:r>
        <w:rPr>
          <w:lang w:val="en-GB"/>
        </w:rPr>
        <w:t xml:space="preserve">he first inequality type acknowledges that the </w:t>
      </w:r>
      <w:proofErr w:type="spellStart"/>
      <w:r>
        <w:rPr>
          <w:lang w:val="en-GB"/>
        </w:rPr>
        <w:t>marginalist</w:t>
      </w:r>
      <w:proofErr w:type="spellEnd"/>
      <w:r>
        <w:rPr>
          <w:lang w:val="en-GB"/>
        </w:rPr>
        <w:t xml:space="preserve"> theory, prescribing the inequality of rewards as proportional to the contributions, is inadequate in capturing the shortcomings of the unobstructed competitive model (Galbraith, 2000). Whereas the second type confirms that the mainstream approach to international trade, as a positive-sum game (e.g. </w:t>
      </w:r>
      <w:r w:rsidRPr="00DD28C6">
        <w:rPr>
          <w:lang w:val="en-GB"/>
        </w:rPr>
        <w:t>Heckscher, 1919; Ohlin, 1993; Barro, 1997</w:t>
      </w:r>
      <w:r>
        <w:rPr>
          <w:lang w:val="en-GB"/>
        </w:rPr>
        <w:t xml:space="preserve">), lacks empirical evidence and overlooks the matter in its entirety. Thus, the claim that the free trade does not make all parties equally competitive (Shaikh, 2007) is evident in the present-day divergence across European countries (e.g. Hein and </w:t>
      </w:r>
      <w:proofErr w:type="spellStart"/>
      <w:r>
        <w:rPr>
          <w:lang w:val="en-GB"/>
        </w:rPr>
        <w:t>Truger</w:t>
      </w:r>
      <w:proofErr w:type="spellEnd"/>
      <w:r>
        <w:rPr>
          <w:lang w:val="en-GB"/>
        </w:rPr>
        <w:t xml:space="preserve">, 2005; </w:t>
      </w:r>
      <w:proofErr w:type="spellStart"/>
      <w:r>
        <w:rPr>
          <w:lang w:val="en-GB"/>
        </w:rPr>
        <w:t>Dullien</w:t>
      </w:r>
      <w:proofErr w:type="spellEnd"/>
      <w:r>
        <w:rPr>
          <w:lang w:val="en-GB"/>
        </w:rPr>
        <w:t xml:space="preserve"> and </w:t>
      </w:r>
      <w:proofErr w:type="spellStart"/>
      <w:r>
        <w:rPr>
          <w:lang w:val="en-GB"/>
        </w:rPr>
        <w:t>Frische</w:t>
      </w:r>
      <w:proofErr w:type="spellEnd"/>
      <w:r>
        <w:rPr>
          <w:lang w:val="en-GB"/>
        </w:rPr>
        <w:t xml:space="preserve">, 2009; </w:t>
      </w:r>
      <w:proofErr w:type="spellStart"/>
      <w:r>
        <w:rPr>
          <w:lang w:val="en-GB"/>
        </w:rPr>
        <w:t>Lapavitsas</w:t>
      </w:r>
      <w:proofErr w:type="spellEnd"/>
      <w:r>
        <w:rPr>
          <w:lang w:val="en-GB"/>
        </w:rPr>
        <w:t xml:space="preserve"> et al, 2012; Storm and </w:t>
      </w:r>
      <w:proofErr w:type="spellStart"/>
      <w:r>
        <w:rPr>
          <w:lang w:val="en-GB"/>
        </w:rPr>
        <w:t>Naastepad</w:t>
      </w:r>
      <w:proofErr w:type="spellEnd"/>
      <w:r>
        <w:rPr>
          <w:lang w:val="en-GB"/>
        </w:rPr>
        <w:t xml:space="preserve">, 2016) and with the fact that they </w:t>
      </w:r>
      <w:r w:rsidRPr="00FF5E9E">
        <w:rPr>
          <w:lang w:val="en-GB"/>
        </w:rPr>
        <w:t xml:space="preserve">failed to uniformly share economic cycles (Rubinić and </w:t>
      </w:r>
      <w:proofErr w:type="spellStart"/>
      <w:r w:rsidRPr="00FF5E9E">
        <w:rPr>
          <w:lang w:val="en-GB"/>
        </w:rPr>
        <w:t>Tajnikar</w:t>
      </w:r>
      <w:proofErr w:type="spellEnd"/>
      <w:r w:rsidRPr="00FF5E9E">
        <w:rPr>
          <w:lang w:val="en-GB"/>
        </w:rPr>
        <w:t xml:space="preserve">, </w:t>
      </w:r>
      <w:r>
        <w:rPr>
          <w:lang w:val="en-GB"/>
        </w:rPr>
        <w:t>2019b</w:t>
      </w:r>
      <w:r w:rsidRPr="00FF5E9E">
        <w:rPr>
          <w:lang w:val="en-GB"/>
        </w:rPr>
        <w:t>).</w:t>
      </w:r>
    </w:p>
    <w:p w14:paraId="35AD8885" w14:textId="77777777" w:rsidR="00186CE3" w:rsidRDefault="00186CE3" w:rsidP="00186CE3">
      <w:pPr>
        <w:jc w:val="both"/>
        <w:rPr>
          <w:lang w:val="en-GB"/>
        </w:rPr>
      </w:pPr>
    </w:p>
    <w:p w14:paraId="5D5B1FBF" w14:textId="77777777" w:rsidR="00186CE3" w:rsidRDefault="00186CE3" w:rsidP="00186CE3">
      <w:pPr>
        <w:jc w:val="both"/>
        <w:rPr>
          <w:lang w:val="en-GB"/>
        </w:rPr>
      </w:pPr>
      <w:r>
        <w:rPr>
          <w:lang w:val="en-GB"/>
        </w:rPr>
        <w:t>Thus, it remains a puzzle why scholars are persisting in the usage of neoliberal narrative in explaining the inequalities which are vastly legitimized within their framework. In order to remedy such inconsistency, this study offers an alternative insight into the European inequality by utilizing the classical/Marxian theory established on the inequality and class antagonism.</w:t>
      </w:r>
    </w:p>
    <w:p w14:paraId="0BDDBC87" w14:textId="77777777" w:rsidR="00186CE3" w:rsidRDefault="00186CE3" w:rsidP="00186CE3">
      <w:pPr>
        <w:jc w:val="both"/>
        <w:rPr>
          <w:lang w:val="en-GB"/>
        </w:rPr>
      </w:pPr>
    </w:p>
    <w:p w14:paraId="54964E39" w14:textId="77777777" w:rsidR="00186CE3" w:rsidRDefault="00186CE3" w:rsidP="00186CE3">
      <w:pPr>
        <w:jc w:val="both"/>
        <w:rPr>
          <w:lang w:val="en-GB"/>
        </w:rPr>
      </w:pPr>
      <w:r>
        <w:rPr>
          <w:lang w:val="en-GB"/>
        </w:rPr>
        <w:t xml:space="preserve">For this purpose, the authors investigate the societal inequalities legitimized through the institution of private property and laws (Rousseau, 1984; Marx, 1992). Accordingly, the within-country inequality is captured with the fundamental theorem of exploitation (Bose, 1980), enabling the capitalists to appropriate a part of the value produced by the workers. Whereas, the </w:t>
      </w:r>
      <w:r>
        <w:rPr>
          <w:rStyle w:val="shorttext"/>
          <w:lang w:val="en-GB"/>
        </w:rPr>
        <w:t xml:space="preserve">cross-country inequality is studied through the use of the Unequal Exchange Theory derived from employing the exploitation dynamics on the supranational level </w:t>
      </w:r>
      <w:r>
        <w:rPr>
          <w:lang w:val="en-GB"/>
        </w:rPr>
        <w:t>(</w:t>
      </w:r>
      <w:r>
        <w:rPr>
          <w:rStyle w:val="shorttext"/>
          <w:lang w:val="en-GB"/>
        </w:rPr>
        <w:t xml:space="preserve">Yoshihara and </w:t>
      </w:r>
      <w:proofErr w:type="spellStart"/>
      <w:r>
        <w:rPr>
          <w:rStyle w:val="shorttext"/>
          <w:lang w:val="en-GB"/>
        </w:rPr>
        <w:t>Veneziani</w:t>
      </w:r>
      <w:proofErr w:type="spellEnd"/>
      <w:r>
        <w:rPr>
          <w:rStyle w:val="shorttext"/>
          <w:lang w:val="en-GB"/>
        </w:rPr>
        <w:t>, 2018). The unequal exchange is seen as the secondary phenomena emerging from the underdevelopment (Shaikh, 1980) and driven by the countries’</w:t>
      </w:r>
      <w:r w:rsidRPr="00D54F58">
        <w:rPr>
          <w:rStyle w:val="shorttext"/>
          <w:lang w:val="en-GB"/>
        </w:rPr>
        <w:t xml:space="preserve"> </w:t>
      </w:r>
      <w:r>
        <w:rPr>
          <w:rStyle w:val="shorttext"/>
          <w:lang w:val="en-GB"/>
        </w:rPr>
        <w:t xml:space="preserve">distinct starting points (Kaldor, 1970) dating back to primitive accumulation (Harvey, 2005). Thus, the unequal exchange as a value transferring mechanism, via international trade, enables the capitalists of the affluent countries to exploit their workers and extends this exercise of power </w:t>
      </w:r>
      <w:r>
        <w:rPr>
          <w:rStyle w:val="shorttext"/>
          <w:lang w:val="en-GB"/>
        </w:rPr>
        <w:lastRenderedPageBreak/>
        <w:t>over all countries of lesser development (Bauer, 2000), even when the latter countries gain through the exchange (Marx, 1971).</w:t>
      </w:r>
    </w:p>
    <w:p w14:paraId="2543CFFA" w14:textId="77777777" w:rsidR="00186CE3" w:rsidRPr="006833C4" w:rsidRDefault="00186CE3" w:rsidP="00186CE3">
      <w:pPr>
        <w:jc w:val="both"/>
        <w:rPr>
          <w:lang w:val="en-GB"/>
        </w:rPr>
      </w:pPr>
    </w:p>
    <w:p w14:paraId="358E798C" w14:textId="77777777" w:rsidR="00186CE3" w:rsidRPr="006833C4" w:rsidRDefault="00186CE3" w:rsidP="00186CE3">
      <w:pPr>
        <w:jc w:val="both"/>
        <w:rPr>
          <w:lang w:val="en-GB"/>
        </w:rPr>
      </w:pPr>
      <w:r>
        <w:rPr>
          <w:lang w:val="en-GB"/>
        </w:rPr>
        <w:t>It is apparent that this dynamic collides with the defined guidelines, thus proving that the concealed forces of the unequal exchange are at the root cause of the turmoil disintegrating the European countries. On these grounds, by limiting the research on the Eurozone countries, t</w:t>
      </w:r>
      <w:r w:rsidRPr="006833C4">
        <w:rPr>
          <w:lang w:val="en-GB"/>
        </w:rPr>
        <w:t xml:space="preserve">he principal focus of this study is to determine to what extent the distinct sectoral composition </w:t>
      </w:r>
      <w:r>
        <w:rPr>
          <w:lang w:val="en-GB"/>
        </w:rPr>
        <w:t xml:space="preserve">and </w:t>
      </w:r>
      <w:r w:rsidRPr="006833C4">
        <w:rPr>
          <w:lang w:val="en-GB"/>
        </w:rPr>
        <w:t xml:space="preserve">technological </w:t>
      </w:r>
      <w:r>
        <w:rPr>
          <w:lang w:val="en-GB"/>
        </w:rPr>
        <w:t>development</w:t>
      </w:r>
      <w:r w:rsidRPr="006833C4">
        <w:rPr>
          <w:lang w:val="en-GB"/>
        </w:rPr>
        <w:t xml:space="preserve"> of national economies are influencing the</w:t>
      </w:r>
      <w:r>
        <w:rPr>
          <w:lang w:val="en-GB"/>
        </w:rPr>
        <w:t xml:space="preserve"> international value transfers</w:t>
      </w:r>
      <w:r w:rsidRPr="006833C4">
        <w:rPr>
          <w:lang w:val="en-GB"/>
        </w:rPr>
        <w:t xml:space="preserve">. In </w:t>
      </w:r>
      <w:r>
        <w:rPr>
          <w:lang w:val="en-GB"/>
        </w:rPr>
        <w:t>t</w:t>
      </w:r>
      <w:r w:rsidRPr="006833C4">
        <w:rPr>
          <w:lang w:val="en-GB"/>
        </w:rPr>
        <w:t xml:space="preserve">his regard, the Eurozone’s cross-country inequality is </w:t>
      </w:r>
      <w:r>
        <w:rPr>
          <w:lang w:val="en-GB"/>
        </w:rPr>
        <w:t xml:space="preserve">linked to three determinants: </w:t>
      </w:r>
      <w:r w:rsidRPr="006833C4">
        <w:rPr>
          <w:lang w:val="en-GB"/>
        </w:rPr>
        <w:t xml:space="preserve">price </w:t>
      </w:r>
      <w:r>
        <w:rPr>
          <w:lang w:val="en-GB"/>
        </w:rPr>
        <w:t xml:space="preserve">effects, </w:t>
      </w:r>
      <w:r w:rsidRPr="006833C4">
        <w:rPr>
          <w:lang w:val="en-GB"/>
        </w:rPr>
        <w:t>efficiency effects</w:t>
      </w:r>
      <w:r>
        <w:rPr>
          <w:lang w:val="en-GB"/>
        </w:rPr>
        <w:t>, and capital intensity effects. They, in effect, ate</w:t>
      </w:r>
      <w:r w:rsidRPr="006833C4">
        <w:rPr>
          <w:lang w:val="en-GB"/>
        </w:rPr>
        <w:t xml:space="preserve"> </w:t>
      </w:r>
      <w:r>
        <w:rPr>
          <w:lang w:val="en-GB"/>
        </w:rPr>
        <w:t>affecting the</w:t>
      </w:r>
      <w:r w:rsidRPr="006833C4">
        <w:rPr>
          <w:lang w:val="en-GB"/>
        </w:rPr>
        <w:t xml:space="preserve"> countr</w:t>
      </w:r>
      <w:r>
        <w:rPr>
          <w:lang w:val="en-GB"/>
        </w:rPr>
        <w:t xml:space="preserve">ies’ </w:t>
      </w:r>
      <w:r w:rsidRPr="006833C4">
        <w:rPr>
          <w:lang w:val="en-GB"/>
        </w:rPr>
        <w:t xml:space="preserve">wage </w:t>
      </w:r>
      <w:r>
        <w:rPr>
          <w:lang w:val="en-GB"/>
        </w:rPr>
        <w:t xml:space="preserve">rates, </w:t>
      </w:r>
      <w:r w:rsidRPr="006833C4">
        <w:rPr>
          <w:lang w:val="en-GB"/>
        </w:rPr>
        <w:t>profit rates</w:t>
      </w:r>
      <w:r>
        <w:rPr>
          <w:lang w:val="en-GB"/>
        </w:rPr>
        <w:t>, and national incomes</w:t>
      </w:r>
      <w:r w:rsidRPr="006833C4">
        <w:rPr>
          <w:lang w:val="en-GB"/>
        </w:rPr>
        <w:t>.</w:t>
      </w:r>
      <w:r>
        <w:rPr>
          <w:lang w:val="en-GB"/>
        </w:rPr>
        <w:t xml:space="preserve"> T</w:t>
      </w:r>
      <w:r w:rsidRPr="006833C4">
        <w:rPr>
          <w:lang w:val="en-GB"/>
        </w:rPr>
        <w:t>h</w:t>
      </w:r>
      <w:r>
        <w:rPr>
          <w:lang w:val="en-GB"/>
        </w:rPr>
        <w:t>e significance of these interrelated</w:t>
      </w:r>
      <w:r w:rsidRPr="006833C4">
        <w:rPr>
          <w:lang w:val="en-GB"/>
        </w:rPr>
        <w:t xml:space="preserve"> effects </w:t>
      </w:r>
      <w:r>
        <w:rPr>
          <w:lang w:val="en-GB"/>
        </w:rPr>
        <w:t>is</w:t>
      </w:r>
      <w:r w:rsidRPr="006833C4">
        <w:rPr>
          <w:lang w:val="en-GB"/>
        </w:rPr>
        <w:t xml:space="preserve"> further </w:t>
      </w:r>
      <w:r>
        <w:rPr>
          <w:lang w:val="en-GB"/>
        </w:rPr>
        <w:t>considered</w:t>
      </w:r>
      <w:r w:rsidRPr="006833C4">
        <w:rPr>
          <w:lang w:val="en-GB"/>
        </w:rPr>
        <w:t xml:space="preserve"> </w:t>
      </w:r>
      <w:r>
        <w:rPr>
          <w:lang w:val="en-GB"/>
        </w:rPr>
        <w:t>from</w:t>
      </w:r>
      <w:r w:rsidRPr="006833C4">
        <w:rPr>
          <w:lang w:val="en-GB"/>
        </w:rPr>
        <w:t xml:space="preserve"> two aspects. The first measures the influence through the degree </w:t>
      </w:r>
      <w:r>
        <w:rPr>
          <w:lang w:val="en-GB"/>
        </w:rPr>
        <w:t xml:space="preserve">of the country’s recognition </w:t>
      </w:r>
      <w:r w:rsidRPr="006833C4">
        <w:rPr>
          <w:lang w:val="en-GB"/>
        </w:rPr>
        <w:t xml:space="preserve">of the </w:t>
      </w:r>
      <w:r>
        <w:rPr>
          <w:lang w:val="en-GB"/>
        </w:rPr>
        <w:t>consumed labour</w:t>
      </w:r>
      <w:r w:rsidRPr="006833C4">
        <w:rPr>
          <w:lang w:val="en-GB"/>
        </w:rPr>
        <w:t xml:space="preserve"> within the equilibrium national income. The second </w:t>
      </w:r>
      <w:r>
        <w:rPr>
          <w:lang w:val="en-GB"/>
        </w:rPr>
        <w:t>questions</w:t>
      </w:r>
      <w:r w:rsidRPr="006833C4">
        <w:rPr>
          <w:lang w:val="en-GB"/>
        </w:rPr>
        <w:t xml:space="preserve"> whether these  are </w:t>
      </w:r>
      <w:r>
        <w:rPr>
          <w:lang w:val="en-GB"/>
        </w:rPr>
        <w:t>altering the</w:t>
      </w:r>
      <w:r w:rsidRPr="006833C4">
        <w:rPr>
          <w:lang w:val="en-GB"/>
        </w:rPr>
        <w:t xml:space="preserve"> proportion of the consumed </w:t>
      </w:r>
      <w:r>
        <w:rPr>
          <w:lang w:val="en-GB"/>
        </w:rPr>
        <w:t>labour</w:t>
      </w:r>
      <w:r w:rsidRPr="006833C4">
        <w:rPr>
          <w:lang w:val="en-GB"/>
        </w:rPr>
        <w:t xml:space="preserve"> constituting non-profit (labour) income</w:t>
      </w:r>
      <w:r>
        <w:rPr>
          <w:lang w:val="en-GB"/>
        </w:rPr>
        <w:t>s</w:t>
      </w:r>
      <w:r w:rsidRPr="006833C4">
        <w:rPr>
          <w:lang w:val="en-GB"/>
        </w:rPr>
        <w:t>.</w:t>
      </w:r>
    </w:p>
    <w:p w14:paraId="35D9AD87" w14:textId="77777777" w:rsidR="00186CE3" w:rsidRDefault="00186CE3" w:rsidP="00186CE3">
      <w:pPr>
        <w:jc w:val="both"/>
        <w:rPr>
          <w:lang w:val="en-GB"/>
        </w:rPr>
      </w:pPr>
    </w:p>
    <w:p w14:paraId="7AE2DA53" w14:textId="77777777" w:rsidR="00186CE3" w:rsidRDefault="00186CE3" w:rsidP="00186CE3">
      <w:pPr>
        <w:jc w:val="both"/>
        <w:rPr>
          <w:lang w:val="en-GB"/>
        </w:rPr>
      </w:pPr>
      <w:r>
        <w:rPr>
          <w:lang w:val="en-GB"/>
        </w:rPr>
        <w:t xml:space="preserve">The general arguments being advanced in this study are: (1) that the trade between the Eurozone countries with distinct endowments results in unequal value transfers; (2) that the main drivers of such a state are disequilibrium prices, distinct efficiency levels, and unequal organic composition of capital across Eurozone’s countries; and (3) that these determinants are anchored to the sectoral structure and unequal </w:t>
      </w:r>
      <w:r w:rsidRPr="006833C4">
        <w:rPr>
          <w:lang w:val="en-GB"/>
        </w:rPr>
        <w:t xml:space="preserve">development of technology </w:t>
      </w:r>
      <w:r>
        <w:rPr>
          <w:lang w:val="en-GB"/>
        </w:rPr>
        <w:t>across the Eurozone countries</w:t>
      </w:r>
      <w:r w:rsidRPr="006833C4">
        <w:rPr>
          <w:lang w:val="en-GB"/>
        </w:rPr>
        <w:t>.</w:t>
      </w:r>
      <w:r>
        <w:rPr>
          <w:lang w:val="en-GB"/>
        </w:rPr>
        <w:t xml:space="preserve"> T</w:t>
      </w:r>
      <w:r w:rsidRPr="006833C4">
        <w:rPr>
          <w:lang w:val="en-GB"/>
        </w:rPr>
        <w:t>h</w:t>
      </w:r>
      <w:r>
        <w:rPr>
          <w:lang w:val="en-GB"/>
        </w:rPr>
        <w:t>is</w:t>
      </w:r>
      <w:r w:rsidRPr="006833C4">
        <w:rPr>
          <w:lang w:val="en-GB"/>
        </w:rPr>
        <w:t xml:space="preserve"> </w:t>
      </w:r>
      <w:r>
        <w:rPr>
          <w:lang w:val="en-GB"/>
        </w:rPr>
        <w:t xml:space="preserve">research seeks to advance the literature through the theoretical and empirical confirmation of the </w:t>
      </w:r>
      <w:r>
        <w:t xml:space="preserve">hypothesized </w:t>
      </w:r>
      <w:r>
        <w:rPr>
          <w:lang w:val="en-GB"/>
        </w:rPr>
        <w:t>arguments. It aims to prove that without the essential reforms, the European concept “</w:t>
      </w:r>
      <w:r w:rsidRPr="001E7C66">
        <w:rPr>
          <w:i/>
          <w:lang w:val="en-GB"/>
        </w:rPr>
        <w:t>united in diversity</w:t>
      </w:r>
      <w:r>
        <w:rPr>
          <w:lang w:val="en-GB"/>
        </w:rPr>
        <w:t>” will remain a formal postulate behind the oppression of the weak that justifies the unity based on the immense diversity in cross-country economic wellbeing.</w:t>
      </w:r>
    </w:p>
    <w:p w14:paraId="6BDE8A86" w14:textId="77777777" w:rsidR="00186CE3" w:rsidRPr="006833C4" w:rsidRDefault="00186CE3" w:rsidP="00186CE3">
      <w:pPr>
        <w:rPr>
          <w:lang w:val="en-GB"/>
        </w:rPr>
      </w:pPr>
    </w:p>
    <w:p w14:paraId="537537EE" w14:textId="77777777" w:rsidR="00186CE3" w:rsidRPr="006833C4" w:rsidRDefault="00186CE3" w:rsidP="00186CE3">
      <w:pPr>
        <w:jc w:val="both"/>
        <w:rPr>
          <w:lang w:val="en-GB"/>
        </w:rPr>
      </w:pPr>
      <w:r w:rsidRPr="006833C4">
        <w:rPr>
          <w:lang w:val="en-GB"/>
        </w:rPr>
        <w:t xml:space="preserve">The remainder of the research is organized as follows. Section two </w:t>
      </w:r>
      <w:r>
        <w:rPr>
          <w:lang w:val="en-GB"/>
        </w:rPr>
        <w:t>provides the</w:t>
      </w:r>
      <w:r w:rsidRPr="006833C4">
        <w:rPr>
          <w:lang w:val="en-GB"/>
        </w:rPr>
        <w:t xml:space="preserve"> literature </w:t>
      </w:r>
      <w:r>
        <w:rPr>
          <w:lang w:val="en-GB"/>
        </w:rPr>
        <w:t>overview</w:t>
      </w:r>
      <w:r w:rsidRPr="006833C4">
        <w:rPr>
          <w:lang w:val="en-GB"/>
        </w:rPr>
        <w:t xml:space="preserve">. Section three </w:t>
      </w:r>
      <w:r>
        <w:rPr>
          <w:lang w:val="en-GB"/>
        </w:rPr>
        <w:t>displays</w:t>
      </w:r>
      <w:r w:rsidRPr="006833C4">
        <w:rPr>
          <w:lang w:val="en-GB"/>
        </w:rPr>
        <w:t xml:space="preserve"> the model</w:t>
      </w:r>
      <w:r>
        <w:rPr>
          <w:lang w:val="en-GB"/>
        </w:rPr>
        <w:t xml:space="preserve">’s theoretical </w:t>
      </w:r>
      <w:r w:rsidRPr="00B66C36">
        <w:t>understructure</w:t>
      </w:r>
      <w:r w:rsidRPr="006833C4">
        <w:rPr>
          <w:lang w:val="en-GB"/>
        </w:rPr>
        <w:t xml:space="preserve">. </w:t>
      </w:r>
      <w:r>
        <w:rPr>
          <w:lang w:val="en-GB"/>
        </w:rPr>
        <w:t xml:space="preserve">Section four deals with </w:t>
      </w:r>
      <w:r w:rsidRPr="006833C4">
        <w:rPr>
          <w:lang w:val="en-GB"/>
        </w:rPr>
        <w:t>methodological issues and data sources</w:t>
      </w:r>
      <w:r>
        <w:rPr>
          <w:lang w:val="en-GB"/>
        </w:rPr>
        <w:t>. The fifth</w:t>
      </w:r>
      <w:r w:rsidRPr="006833C4">
        <w:rPr>
          <w:lang w:val="en-GB"/>
        </w:rPr>
        <w:t xml:space="preserve"> section </w:t>
      </w:r>
      <w:r>
        <w:rPr>
          <w:lang w:val="en-GB"/>
        </w:rPr>
        <w:t>introduces the empirical model. The sixth section presents the results and arising discussion</w:t>
      </w:r>
      <w:r w:rsidRPr="006833C4">
        <w:rPr>
          <w:lang w:val="en-GB"/>
        </w:rPr>
        <w:t xml:space="preserve">. Section </w:t>
      </w:r>
      <w:r>
        <w:rPr>
          <w:lang w:val="en-GB"/>
        </w:rPr>
        <w:t>seven</w:t>
      </w:r>
      <w:r w:rsidRPr="006833C4">
        <w:rPr>
          <w:lang w:val="en-GB"/>
        </w:rPr>
        <w:t xml:space="preserve"> concludes.</w:t>
      </w:r>
    </w:p>
    <w:p w14:paraId="52EF8C09" w14:textId="77777777" w:rsidR="00186CE3" w:rsidRPr="006833C4" w:rsidRDefault="00186CE3" w:rsidP="00186CE3">
      <w:pPr>
        <w:rPr>
          <w:lang w:val="en-GB"/>
        </w:rPr>
      </w:pPr>
    </w:p>
    <w:p w14:paraId="4ADC28A9" w14:textId="1D3FCA89" w:rsidR="00186CE3" w:rsidRPr="00843F00" w:rsidRDefault="00186CE3" w:rsidP="00186CE3">
      <w:pPr>
        <w:pStyle w:val="ListParagraph"/>
        <w:numPr>
          <w:ilvl w:val="0"/>
          <w:numId w:val="13"/>
        </w:numPr>
        <w:rPr>
          <w:b/>
          <w:lang w:val="en-GB"/>
        </w:rPr>
      </w:pPr>
      <w:r w:rsidRPr="00843F00">
        <w:rPr>
          <w:b/>
          <w:lang w:val="en-GB"/>
        </w:rPr>
        <w:t>L</w:t>
      </w:r>
      <w:r w:rsidR="00D51097">
        <w:rPr>
          <w:b/>
          <w:lang w:val="en-GB"/>
        </w:rPr>
        <w:t>ITERATURE OVERVIEW</w:t>
      </w:r>
    </w:p>
    <w:p w14:paraId="7B10AABE" w14:textId="77777777" w:rsidR="00186CE3" w:rsidRPr="00CC561B" w:rsidRDefault="00186CE3" w:rsidP="00186CE3">
      <w:pPr>
        <w:rPr>
          <w:lang w:val="en-GB"/>
        </w:rPr>
      </w:pPr>
    </w:p>
    <w:p w14:paraId="49732293" w14:textId="77777777" w:rsidR="00186CE3" w:rsidRPr="0084720E" w:rsidRDefault="00186CE3" w:rsidP="00186CE3">
      <w:pPr>
        <w:jc w:val="both"/>
        <w:rPr>
          <w:lang w:val="en-GB"/>
        </w:rPr>
      </w:pPr>
      <w:r>
        <w:rPr>
          <w:lang w:val="en-GB"/>
        </w:rPr>
        <w:t>Determined by the nature of capital, the unequal development as a hallmark of the European integration project is</w:t>
      </w:r>
      <w:r w:rsidRPr="009C5326">
        <w:rPr>
          <w:lang w:val="en-GB"/>
        </w:rPr>
        <w:t xml:space="preserve"> </w:t>
      </w:r>
      <w:r>
        <w:rPr>
          <w:lang w:val="en-GB"/>
        </w:rPr>
        <w:t xml:space="preserve">the inevitable consequence of free trade rooted in the sphere of production and inherent to capitalism (Smith, 2008). The capitalist development is </w:t>
      </w:r>
      <w:r>
        <w:rPr>
          <w:i/>
          <w:lang w:val="en-GB"/>
        </w:rPr>
        <w:t>“asymmetrical in terms of construct and inequitable in terms of outcome”</w:t>
      </w:r>
      <w:r>
        <w:rPr>
          <w:lang w:val="en-GB"/>
        </w:rPr>
        <w:t xml:space="preserve"> (Nayyar, 2007, p. 80). Its expansion </w:t>
      </w:r>
      <w:r>
        <w:rPr>
          <w:i/>
          <w:lang w:val="en-GB"/>
        </w:rPr>
        <w:t>“locks countries into further relations of unequal exchange”</w:t>
      </w:r>
      <w:r>
        <w:rPr>
          <w:lang w:val="en-GB"/>
        </w:rPr>
        <w:t xml:space="preserve"> (Bieler and Morton, 2014, p. 41), where the cross-country unequal exchange </w:t>
      </w:r>
      <w:r>
        <w:rPr>
          <w:i/>
          <w:lang w:val="en-GB"/>
        </w:rPr>
        <w:t>“arises when spatial production of value is disjointed from its geographical distribution”</w:t>
      </w:r>
      <w:r>
        <w:rPr>
          <w:lang w:val="en-GB"/>
        </w:rPr>
        <w:t xml:space="preserve"> (Ricci, 2018, p. 1).</w:t>
      </w:r>
    </w:p>
    <w:p w14:paraId="61023C70" w14:textId="77777777" w:rsidR="00186CE3" w:rsidRDefault="00186CE3" w:rsidP="00186CE3">
      <w:pPr>
        <w:rPr>
          <w:lang w:val="en-GB"/>
        </w:rPr>
      </w:pPr>
    </w:p>
    <w:p w14:paraId="2DD58921" w14:textId="77777777" w:rsidR="00186CE3" w:rsidRDefault="00186CE3" w:rsidP="00186CE3">
      <w:pPr>
        <w:jc w:val="both"/>
        <w:rPr>
          <w:lang w:val="en-GB"/>
        </w:rPr>
      </w:pPr>
      <w:r>
        <w:rPr>
          <w:lang w:val="en-GB"/>
        </w:rPr>
        <w:t>In academic literature, there exists a broad consensus that the Eurozone countries are integrated into relations of unequal exchange (</w:t>
      </w:r>
      <w:proofErr w:type="spellStart"/>
      <w:r>
        <w:rPr>
          <w:lang w:val="en-GB"/>
        </w:rPr>
        <w:t>Boundi</w:t>
      </w:r>
      <w:proofErr w:type="spellEnd"/>
      <w:r>
        <w:rPr>
          <w:lang w:val="en-GB"/>
        </w:rPr>
        <w:t xml:space="preserve"> </w:t>
      </w:r>
      <w:proofErr w:type="spellStart"/>
      <w:r>
        <w:rPr>
          <w:lang w:val="en-GB"/>
        </w:rPr>
        <w:t>Chraki</w:t>
      </w:r>
      <w:proofErr w:type="spellEnd"/>
      <w:r>
        <w:rPr>
          <w:lang w:val="en-GB"/>
        </w:rPr>
        <w:t xml:space="preserve">, 2018; Ricci, 2018; </w:t>
      </w:r>
      <w:proofErr w:type="spellStart"/>
      <w:r>
        <w:rPr>
          <w:lang w:val="en-GB"/>
        </w:rPr>
        <w:t>Tsaliki</w:t>
      </w:r>
      <w:proofErr w:type="spellEnd"/>
      <w:r>
        <w:rPr>
          <w:lang w:val="en-GB"/>
        </w:rPr>
        <w:t xml:space="preserve">, </w:t>
      </w:r>
      <w:proofErr w:type="spellStart"/>
      <w:r>
        <w:rPr>
          <w:lang w:val="en-GB"/>
        </w:rPr>
        <w:t>Paraskevopoulou</w:t>
      </w:r>
      <w:proofErr w:type="spellEnd"/>
      <w:r>
        <w:rPr>
          <w:lang w:val="en-GB"/>
        </w:rPr>
        <w:t xml:space="preserve">, and </w:t>
      </w:r>
      <w:proofErr w:type="spellStart"/>
      <w:r>
        <w:rPr>
          <w:lang w:val="en-GB"/>
        </w:rPr>
        <w:t>Tsoulfidis</w:t>
      </w:r>
      <w:proofErr w:type="spellEnd"/>
      <w:r>
        <w:rPr>
          <w:lang w:val="en-GB"/>
        </w:rPr>
        <w:t xml:space="preserve">, 2017; </w:t>
      </w:r>
      <w:proofErr w:type="spellStart"/>
      <w:r>
        <w:rPr>
          <w:lang w:val="en-GB"/>
        </w:rPr>
        <w:t>Seretis</w:t>
      </w:r>
      <w:proofErr w:type="spellEnd"/>
      <w:r>
        <w:rPr>
          <w:lang w:val="en-GB"/>
        </w:rPr>
        <w:t xml:space="preserve"> and </w:t>
      </w:r>
      <w:proofErr w:type="spellStart"/>
      <w:r>
        <w:rPr>
          <w:lang w:val="en-GB"/>
        </w:rPr>
        <w:t>Tsaliki</w:t>
      </w:r>
      <w:proofErr w:type="spellEnd"/>
      <w:r>
        <w:rPr>
          <w:lang w:val="en-GB"/>
        </w:rPr>
        <w:t xml:space="preserve">, 2016; </w:t>
      </w:r>
      <w:proofErr w:type="spellStart"/>
      <w:r>
        <w:rPr>
          <w:lang w:val="en-GB"/>
        </w:rPr>
        <w:t>Baiman</w:t>
      </w:r>
      <w:proofErr w:type="spellEnd"/>
      <w:r>
        <w:rPr>
          <w:lang w:val="en-GB"/>
        </w:rPr>
        <w:t xml:space="preserve">, 2014; </w:t>
      </w:r>
      <w:r>
        <w:rPr>
          <w:i/>
          <w:lang w:val="en-GB"/>
        </w:rPr>
        <w:t>inter alia</w:t>
      </w:r>
      <w:r>
        <w:rPr>
          <w:lang w:val="en-GB"/>
        </w:rPr>
        <w:t xml:space="preserve">). Under the general umbrella of unequal exchange, amongst the several coexisting schools, this study builds upon two paramount intellectual currents. The first one is linked to the classical development theory constituting the structuralist unequal exchange theories founded on the work of </w:t>
      </w:r>
      <w:proofErr w:type="spellStart"/>
      <w:r>
        <w:rPr>
          <w:lang w:val="en-GB"/>
        </w:rPr>
        <w:t>Prebisch</w:t>
      </w:r>
      <w:proofErr w:type="spellEnd"/>
      <w:r>
        <w:rPr>
          <w:lang w:val="en-GB"/>
        </w:rPr>
        <w:t xml:space="preserve"> (1950), Singer (1950), and Lewis (1954), while the second current commences with Emmanuel (1972, 1975), who reintroduced and popularized the topic.</w:t>
      </w:r>
    </w:p>
    <w:p w14:paraId="73FA74CD" w14:textId="77777777" w:rsidR="00186CE3" w:rsidRDefault="00186CE3" w:rsidP="00186CE3">
      <w:pPr>
        <w:jc w:val="both"/>
        <w:rPr>
          <w:lang w:val="en-GB"/>
        </w:rPr>
      </w:pPr>
    </w:p>
    <w:p w14:paraId="6A5FD70E" w14:textId="77777777" w:rsidR="00186CE3" w:rsidRDefault="00186CE3" w:rsidP="00186CE3">
      <w:pPr>
        <w:jc w:val="both"/>
        <w:rPr>
          <w:lang w:val="en-GB"/>
        </w:rPr>
      </w:pPr>
      <w:r>
        <w:rPr>
          <w:lang w:val="en-GB"/>
        </w:rPr>
        <w:t xml:space="preserve">The pillar of the dependency theory, the </w:t>
      </w:r>
      <w:proofErr w:type="spellStart"/>
      <w:r>
        <w:rPr>
          <w:lang w:val="en-GB"/>
        </w:rPr>
        <w:t>Prebisch</w:t>
      </w:r>
      <w:proofErr w:type="spellEnd"/>
      <w:r>
        <w:rPr>
          <w:lang w:val="en-GB"/>
        </w:rPr>
        <w:t>-Singer Thesis states that there exists a long-run trend in deteriorating terms of trade between the centre and the periphery. This worsening rests upon the international specialization in commodities production, where the periphery produces primary goods while the centre is orientated toward the production of the manufacturing commodities. Consequently, the asymmetrical distribution of the international trade gains arises due to the wage and profit differentials (</w:t>
      </w:r>
      <w:proofErr w:type="spellStart"/>
      <w:r>
        <w:rPr>
          <w:lang w:val="en-GB"/>
        </w:rPr>
        <w:t>Floto</w:t>
      </w:r>
      <w:proofErr w:type="spellEnd"/>
      <w:r>
        <w:rPr>
          <w:lang w:val="en-GB"/>
        </w:rPr>
        <w:t>, 1989). They are founded on the trade between the raw, low-priced peripheral products and the high-priced core’s industrial goods. Accordingly, the unequal exchange occurs due to the peripheral low incomes and price elasticity of demand for their commodities, and the core’s monopolistic prices combined with the high wage rigidity (Toye and Toye, 2003; Love, 1980). Moreover, the confirmation that the cross-country unequal exchange is established on the distinct sectoral composition is argued by Lewis, who differentiates between the periphery with traditional, and the core with modern sectors (Fields, 2004). In his analytical model, the periphery, with traditional sector and abundant labour supply, maintains the low wages in contrast to the core with the modern sector and high wages. Accordingly, the unequal exchange surfaces as a result of the wage differentials, where the peripheral low-priced commodities are being exchanged for the core’s high-priced industrial goods. Inasmuch, such a value transfer favouring the core is further enhanced with the capitalist expansion and the peripheral labour productivity growth, which further deteriorates the terms of trade by lowering the peripheral export prices.</w:t>
      </w:r>
    </w:p>
    <w:p w14:paraId="79CA1437" w14:textId="77777777" w:rsidR="00186CE3" w:rsidRDefault="00186CE3" w:rsidP="00186CE3">
      <w:pPr>
        <w:jc w:val="both"/>
        <w:rPr>
          <w:lang w:val="en-GB"/>
        </w:rPr>
      </w:pPr>
    </w:p>
    <w:p w14:paraId="587683E8" w14:textId="77777777" w:rsidR="00186CE3" w:rsidRDefault="00186CE3" w:rsidP="00186CE3">
      <w:pPr>
        <w:jc w:val="both"/>
        <w:rPr>
          <w:lang w:val="en-GB"/>
        </w:rPr>
      </w:pPr>
      <w:r>
        <w:rPr>
          <w:lang w:val="en-GB"/>
        </w:rPr>
        <w:t>The second school of economic thought heavily influencing this research starts from the work of aforementioned authors (Bacha, 1978), and evolves around Emmanuel (1972), who coined the term Unequal Exchange</w:t>
      </w:r>
      <w:r>
        <w:rPr>
          <w:rStyle w:val="FootnoteReference"/>
          <w:lang w:val="en-GB"/>
        </w:rPr>
        <w:footnoteReference w:id="2"/>
      </w:r>
      <w:r>
        <w:rPr>
          <w:lang w:val="en-GB"/>
        </w:rPr>
        <w:t>. Departing from the assumptions of perfect capital mobility, relative immobility of labour, and competitive markets, Emmanuel argued that international trade is the mechanism that transfers the values from underdeveloped to developed countries. He builds the Unequal Exchange theory departing from the notions of tendential international equalization of the profit rates and arising formation of the international prices of production combined with the wage differentials across the countries participating in trade. Emmanuel recognizes two types of non-equivalence. The unequal exchange in the strict sense is derived from the cross-country differences in the monetary wages initiating the transfer of values from the poor to rich economies. In this scenario, the unequal exchange is facilitated through the significantly lower peripheral real labour costs which, via the international market prices, effectively underestimate the actual amount of labour inputs embodied with the peripheral commodities (</w:t>
      </w:r>
      <w:proofErr w:type="spellStart"/>
      <w:r>
        <w:rPr>
          <w:lang w:val="en-GB"/>
        </w:rPr>
        <w:t>Kollmeyer</w:t>
      </w:r>
      <w:proofErr w:type="spellEnd"/>
      <w:r>
        <w:rPr>
          <w:lang w:val="en-GB"/>
        </w:rPr>
        <w:t xml:space="preserve">, 2009). The opposite is the case with the core countries. The unequal exchange in the broad sense </w:t>
      </w:r>
      <w:r w:rsidRPr="004F69B3">
        <w:rPr>
          <w:rStyle w:val="5yl5"/>
          <w:rFonts w:eastAsiaTheme="majorEastAsia"/>
          <w:color w:val="000000" w:themeColor="text1"/>
          <w:lang w:val="en-GB"/>
        </w:rPr>
        <w:t>aris</w:t>
      </w:r>
      <w:r>
        <w:rPr>
          <w:rStyle w:val="5yl5"/>
          <w:rFonts w:eastAsiaTheme="majorEastAsia"/>
          <w:color w:val="000000" w:themeColor="text1"/>
          <w:lang w:val="en-GB"/>
        </w:rPr>
        <w:t>es</w:t>
      </w:r>
      <w:r w:rsidRPr="004F69B3">
        <w:rPr>
          <w:rStyle w:val="5yl5"/>
          <w:rFonts w:eastAsiaTheme="majorEastAsia"/>
          <w:color w:val="000000" w:themeColor="text1"/>
          <w:lang w:val="en-GB"/>
        </w:rPr>
        <w:t xml:space="preserve"> from </w:t>
      </w:r>
      <w:r>
        <w:rPr>
          <w:rStyle w:val="5yl5"/>
          <w:rFonts w:eastAsiaTheme="majorEastAsia"/>
          <w:color w:val="000000" w:themeColor="text1"/>
          <w:lang w:val="en-GB"/>
        </w:rPr>
        <w:t>cross-country distinct</w:t>
      </w:r>
      <w:r w:rsidRPr="004F69B3">
        <w:rPr>
          <w:rStyle w:val="5yl5"/>
          <w:rFonts w:eastAsiaTheme="majorEastAsia"/>
          <w:color w:val="000000" w:themeColor="text1"/>
          <w:lang w:val="en-GB"/>
        </w:rPr>
        <w:t xml:space="preserve"> </w:t>
      </w:r>
      <w:r>
        <w:rPr>
          <w:rStyle w:val="5yl5"/>
          <w:rFonts w:eastAsiaTheme="majorEastAsia"/>
          <w:color w:val="000000" w:themeColor="text1"/>
          <w:lang w:val="en-GB"/>
        </w:rPr>
        <w:t xml:space="preserve">organic compositions of </w:t>
      </w:r>
      <w:r w:rsidRPr="004F69B3">
        <w:rPr>
          <w:rStyle w:val="5yl5"/>
          <w:rFonts w:eastAsiaTheme="majorEastAsia"/>
          <w:color w:val="000000" w:themeColor="text1"/>
          <w:lang w:val="en-GB"/>
        </w:rPr>
        <w:t xml:space="preserve">capital and </w:t>
      </w:r>
      <w:r>
        <w:rPr>
          <w:rStyle w:val="5yl5"/>
          <w:rFonts w:eastAsiaTheme="majorEastAsia"/>
          <w:color w:val="000000" w:themeColor="text1"/>
          <w:lang w:val="en-GB"/>
        </w:rPr>
        <w:t>transfers the</w:t>
      </w:r>
      <w:r w:rsidRPr="004F69B3">
        <w:rPr>
          <w:rStyle w:val="5yl5"/>
          <w:rFonts w:eastAsiaTheme="majorEastAsia"/>
          <w:color w:val="000000" w:themeColor="text1"/>
          <w:lang w:val="en-GB"/>
        </w:rPr>
        <w:t xml:space="preserve"> values toward the </w:t>
      </w:r>
      <w:r>
        <w:rPr>
          <w:rStyle w:val="5yl5"/>
          <w:rFonts w:eastAsiaTheme="majorEastAsia"/>
          <w:color w:val="000000" w:themeColor="text1"/>
          <w:lang w:val="en-GB"/>
        </w:rPr>
        <w:t xml:space="preserve">affluent </w:t>
      </w:r>
      <w:r w:rsidRPr="004F69B3">
        <w:rPr>
          <w:rStyle w:val="5yl5"/>
          <w:rFonts w:eastAsiaTheme="majorEastAsia"/>
          <w:color w:val="000000" w:themeColor="text1"/>
          <w:lang w:val="en-GB"/>
        </w:rPr>
        <w:t>countries with high capital-intensive industries</w:t>
      </w:r>
      <w:r>
        <w:rPr>
          <w:rStyle w:val="5yl5"/>
          <w:rFonts w:eastAsiaTheme="majorEastAsia"/>
          <w:color w:val="000000" w:themeColor="text1"/>
          <w:lang w:val="en-GB"/>
        </w:rPr>
        <w:t>.</w:t>
      </w:r>
    </w:p>
    <w:p w14:paraId="55AF33EC" w14:textId="77777777" w:rsidR="00186CE3" w:rsidRDefault="00186CE3" w:rsidP="00186CE3">
      <w:pPr>
        <w:rPr>
          <w:lang w:val="en-GB"/>
        </w:rPr>
      </w:pPr>
    </w:p>
    <w:p w14:paraId="3D67BA01" w14:textId="77777777" w:rsidR="00186CE3" w:rsidRDefault="00186CE3" w:rsidP="00186CE3">
      <w:pPr>
        <w:jc w:val="both"/>
        <w:rPr>
          <w:lang w:val="en-GB"/>
        </w:rPr>
      </w:pPr>
      <w:r>
        <w:rPr>
          <w:lang w:val="en-GB"/>
        </w:rPr>
        <w:t>Although Emmanuel does a great job explaining the cross-country exploitative relations, he falls short by hypothesizing the unrealistic, uniform technology across countries (</w:t>
      </w:r>
      <w:proofErr w:type="spellStart"/>
      <w:r>
        <w:rPr>
          <w:lang w:val="en-GB"/>
        </w:rPr>
        <w:t>Tsaliki</w:t>
      </w:r>
      <w:proofErr w:type="spellEnd"/>
      <w:r>
        <w:rPr>
          <w:lang w:val="en-GB"/>
        </w:rPr>
        <w:t xml:space="preserve">, </w:t>
      </w:r>
      <w:proofErr w:type="spellStart"/>
      <w:r>
        <w:rPr>
          <w:lang w:val="en-GB"/>
        </w:rPr>
        <w:t>Paraskevopoulou</w:t>
      </w:r>
      <w:proofErr w:type="spellEnd"/>
      <w:r>
        <w:rPr>
          <w:lang w:val="en-GB"/>
        </w:rPr>
        <w:t xml:space="preserve">, and </w:t>
      </w:r>
      <w:proofErr w:type="spellStart"/>
      <w:r>
        <w:rPr>
          <w:lang w:val="en-GB"/>
        </w:rPr>
        <w:t>Tsoulfidis</w:t>
      </w:r>
      <w:proofErr w:type="spellEnd"/>
      <w:r>
        <w:rPr>
          <w:lang w:val="en-GB"/>
        </w:rPr>
        <w:t xml:space="preserve">, 2017). It must be mentioned that Emmanuel only indirectly, and definitely insufficiently, captures the technical composition through the organic composition of capital. The uniform technology stance is refuted by, amongst others, </w:t>
      </w:r>
      <w:proofErr w:type="spellStart"/>
      <w:r>
        <w:rPr>
          <w:lang w:val="en-GB"/>
        </w:rPr>
        <w:t>Elmslie</w:t>
      </w:r>
      <w:proofErr w:type="spellEnd"/>
      <w:r>
        <w:rPr>
          <w:lang w:val="en-GB"/>
        </w:rPr>
        <w:t xml:space="preserve"> and Milberg (1992), and must be accounted for since the technological development reduces the production cost (Callinicos, 2010) to below the cross-country average.</w:t>
      </w:r>
    </w:p>
    <w:p w14:paraId="4F5786F6" w14:textId="77777777" w:rsidR="00186CE3" w:rsidRDefault="00186CE3" w:rsidP="00186CE3">
      <w:pPr>
        <w:jc w:val="both"/>
        <w:rPr>
          <w:lang w:val="en-GB"/>
        </w:rPr>
      </w:pPr>
    </w:p>
    <w:p w14:paraId="6BE179F6" w14:textId="77777777" w:rsidR="00186CE3" w:rsidRDefault="00186CE3" w:rsidP="00186CE3">
      <w:pPr>
        <w:jc w:val="both"/>
        <w:rPr>
          <w:lang w:val="en-GB"/>
        </w:rPr>
      </w:pPr>
      <w:r>
        <w:rPr>
          <w:lang w:val="en-GB"/>
        </w:rPr>
        <w:lastRenderedPageBreak/>
        <w:t>On these grounds, by acknowledging and extending upon the aforementioned contributions, the authors develop a novel extension of the unequal exchange model, allowing them to quantify and investigate the importance of both the sectoral and the technological compositions within the framework of international trade, with perfect factor mobility.</w:t>
      </w:r>
    </w:p>
    <w:p w14:paraId="4410B01A" w14:textId="77777777" w:rsidR="00186CE3" w:rsidRPr="00CC561B" w:rsidRDefault="00186CE3" w:rsidP="00186CE3">
      <w:pPr>
        <w:rPr>
          <w:lang w:val="en-GB"/>
        </w:rPr>
      </w:pPr>
    </w:p>
    <w:p w14:paraId="4F40B846" w14:textId="53FE8A19" w:rsidR="00186CE3" w:rsidRDefault="00186CE3" w:rsidP="00186CE3">
      <w:pPr>
        <w:pStyle w:val="ListParagraph"/>
        <w:numPr>
          <w:ilvl w:val="0"/>
          <w:numId w:val="13"/>
        </w:numPr>
        <w:rPr>
          <w:b/>
          <w:lang w:val="en-GB"/>
        </w:rPr>
      </w:pPr>
      <w:r w:rsidRPr="006833C4">
        <w:rPr>
          <w:b/>
          <w:lang w:val="en-GB"/>
        </w:rPr>
        <w:t>M</w:t>
      </w:r>
      <w:r w:rsidR="00D51097">
        <w:rPr>
          <w:b/>
          <w:lang w:val="en-GB"/>
        </w:rPr>
        <w:t xml:space="preserve">EASURING THE </w:t>
      </w:r>
      <w:r w:rsidRPr="006833C4">
        <w:rPr>
          <w:b/>
          <w:lang w:val="en-GB"/>
        </w:rPr>
        <w:t>E</w:t>
      </w:r>
      <w:r w:rsidR="00D51097">
        <w:rPr>
          <w:b/>
          <w:lang w:val="en-GB"/>
        </w:rPr>
        <w:t>UROZONE</w:t>
      </w:r>
      <w:r w:rsidRPr="006833C4">
        <w:rPr>
          <w:b/>
          <w:lang w:val="en-GB"/>
        </w:rPr>
        <w:t>’</w:t>
      </w:r>
      <w:r w:rsidR="00D51097">
        <w:rPr>
          <w:b/>
          <w:lang w:val="en-GB"/>
        </w:rPr>
        <w:t>S</w:t>
      </w:r>
      <w:r w:rsidRPr="006833C4">
        <w:rPr>
          <w:b/>
          <w:lang w:val="en-GB"/>
        </w:rPr>
        <w:t xml:space="preserve"> C</w:t>
      </w:r>
      <w:r w:rsidR="00D51097">
        <w:rPr>
          <w:b/>
          <w:lang w:val="en-GB"/>
        </w:rPr>
        <w:t>ROSS</w:t>
      </w:r>
      <w:r w:rsidRPr="006833C4">
        <w:rPr>
          <w:b/>
          <w:lang w:val="en-GB"/>
        </w:rPr>
        <w:t>-C</w:t>
      </w:r>
      <w:r w:rsidR="00D51097">
        <w:rPr>
          <w:b/>
          <w:lang w:val="en-GB"/>
        </w:rPr>
        <w:t>OUNTRY</w:t>
      </w:r>
      <w:r w:rsidRPr="006833C4">
        <w:rPr>
          <w:b/>
          <w:lang w:val="en-GB"/>
        </w:rPr>
        <w:t xml:space="preserve"> I</w:t>
      </w:r>
      <w:r w:rsidR="00D51097">
        <w:rPr>
          <w:b/>
          <w:lang w:val="en-GB"/>
        </w:rPr>
        <w:t>NEQUALITY</w:t>
      </w:r>
    </w:p>
    <w:p w14:paraId="00EA45AD" w14:textId="77777777" w:rsidR="00186CE3" w:rsidRDefault="00186CE3" w:rsidP="00186CE3">
      <w:pPr>
        <w:jc w:val="both"/>
        <w:rPr>
          <w:lang w:val="en-GB"/>
        </w:rPr>
      </w:pPr>
    </w:p>
    <w:p w14:paraId="367FB512" w14:textId="77777777" w:rsidR="00186CE3" w:rsidRDefault="00186CE3" w:rsidP="00186CE3">
      <w:pPr>
        <w:jc w:val="both"/>
        <w:rPr>
          <w:lang w:val="en-GB"/>
        </w:rPr>
      </w:pPr>
      <w:r>
        <w:rPr>
          <w:lang w:val="en-GB"/>
        </w:rPr>
        <w:t xml:space="preserve">The measurement of the Eurozone’s inequality departs from the model of Rubinić and </w:t>
      </w:r>
      <w:proofErr w:type="spellStart"/>
      <w:r>
        <w:rPr>
          <w:lang w:val="en-GB"/>
        </w:rPr>
        <w:t>Tajnikar</w:t>
      </w:r>
      <w:proofErr w:type="spellEnd"/>
      <w:r>
        <w:rPr>
          <w:lang w:val="en-GB"/>
        </w:rPr>
        <w:t xml:space="preserve"> (forthcoming, 2019a), conceptually founded on the classical/Marxian tradition. The cornerstone of this research is a closed-economy model used to investigate the country’s relative position within the cluster, regarding the unequal exchange. The attractive feature of the such a presumption is that it allows for the implementation of the Marxian cross-sectoral model on the cross-country dynamics. Effectively, this implies that the domestic and the international markets are ruled by the same laws (Marx, 1992b; Schumacher, 2012), and is justified by the unique monetary system, single currency, and single market. Furthermore, the authors assumed that within the Eurozone’s economy, production factors are homogenous, competitive, and mobile</w:t>
      </w:r>
      <w:r>
        <w:rPr>
          <w:rStyle w:val="FootnoteReference"/>
          <w:lang w:val="en-GB"/>
        </w:rPr>
        <w:footnoteReference w:id="3"/>
      </w:r>
      <w:r>
        <w:rPr>
          <w:lang w:val="en-GB"/>
        </w:rPr>
        <w:t>.</w:t>
      </w:r>
    </w:p>
    <w:p w14:paraId="5C52485C" w14:textId="77777777" w:rsidR="00186CE3" w:rsidRDefault="00186CE3" w:rsidP="00186CE3">
      <w:pPr>
        <w:jc w:val="both"/>
        <w:rPr>
          <w:lang w:val="en-GB"/>
        </w:rPr>
      </w:pPr>
    </w:p>
    <w:p w14:paraId="5BAEC80A" w14:textId="77777777" w:rsidR="00186CE3" w:rsidRPr="004D3F5A" w:rsidRDefault="00186CE3" w:rsidP="00186CE3">
      <w:pPr>
        <w:widowControl w:val="0"/>
        <w:tabs>
          <w:tab w:val="left" w:pos="6877"/>
        </w:tabs>
        <w:jc w:val="both"/>
        <w:rPr>
          <w:lang w:val="en-GB"/>
        </w:rPr>
      </w:pPr>
      <w:r>
        <w:rPr>
          <w:lang w:val="en-GB"/>
        </w:rPr>
        <w:t>If these assumptions are accepted, the Eurozone’s cross-country inequalities can be linked to three determinants</w:t>
      </w:r>
      <w:r w:rsidRPr="003A3261">
        <w:rPr>
          <w:lang w:val="en-GB"/>
        </w:rPr>
        <w:t xml:space="preserve">: </w:t>
      </w:r>
      <w:r>
        <w:rPr>
          <w:lang w:val="en-GB"/>
        </w:rPr>
        <w:t>distinct utilization of</w:t>
      </w:r>
      <w:r w:rsidRPr="003A3261">
        <w:rPr>
          <w:lang w:val="en-GB"/>
        </w:rPr>
        <w:t xml:space="preserve"> </w:t>
      </w:r>
      <w:r>
        <w:rPr>
          <w:lang w:val="en-GB"/>
        </w:rPr>
        <w:t>market disequilibria</w:t>
      </w:r>
      <w:r w:rsidRPr="003A3261">
        <w:rPr>
          <w:lang w:val="en-GB"/>
        </w:rPr>
        <w:t>, distinct capital-labour ratios, and distinct economic efficiencies.</w:t>
      </w:r>
      <w:r>
        <w:rPr>
          <w:lang w:val="en-GB"/>
        </w:rPr>
        <w:t xml:space="preserve"> The effects of these determinants are</w:t>
      </w:r>
      <w:r w:rsidRPr="003A3261">
        <w:rPr>
          <w:lang w:val="en-GB"/>
        </w:rPr>
        <w:t xml:space="preserve"> measured through the </w:t>
      </w:r>
      <w:r>
        <w:rPr>
          <w:lang w:val="en-GB"/>
        </w:rPr>
        <w:t xml:space="preserve">cross-country </w:t>
      </w:r>
      <w:r w:rsidRPr="003A3261">
        <w:rPr>
          <w:lang w:val="en-GB"/>
        </w:rPr>
        <w:t xml:space="preserve">deviations </w:t>
      </w:r>
      <w:r>
        <w:rPr>
          <w:lang w:val="en-GB"/>
        </w:rPr>
        <w:t>between</w:t>
      </w:r>
      <w:r w:rsidRPr="003A3261">
        <w:rPr>
          <w:lang w:val="en-GB"/>
        </w:rPr>
        <w:t xml:space="preserve"> profit and</w:t>
      </w:r>
      <w:r>
        <w:rPr>
          <w:lang w:val="en-GB"/>
        </w:rPr>
        <w:t xml:space="preserve"> labour incomes</w:t>
      </w:r>
      <w:r w:rsidRPr="003A3261">
        <w:rPr>
          <w:lang w:val="en-GB"/>
        </w:rPr>
        <w:t>, differences</w:t>
      </w:r>
      <w:r>
        <w:rPr>
          <w:lang w:val="en-GB"/>
        </w:rPr>
        <w:t xml:space="preserve"> in</w:t>
      </w:r>
      <w:r w:rsidRPr="003A3261">
        <w:rPr>
          <w:lang w:val="en-GB"/>
        </w:rPr>
        <w:t xml:space="preserve"> output per employee, and </w:t>
      </w:r>
      <w:r>
        <w:rPr>
          <w:lang w:val="en-GB"/>
        </w:rPr>
        <w:t>variation</w:t>
      </w:r>
      <w:r w:rsidRPr="003A3261">
        <w:rPr>
          <w:lang w:val="en-GB"/>
        </w:rPr>
        <w:t xml:space="preserve"> in </w:t>
      </w:r>
      <w:r>
        <w:rPr>
          <w:lang w:val="en-GB"/>
        </w:rPr>
        <w:t>labour force exploitation.</w:t>
      </w:r>
    </w:p>
    <w:p w14:paraId="5B3D0092" w14:textId="77777777" w:rsidR="00186CE3" w:rsidRPr="003A3261" w:rsidRDefault="00186CE3" w:rsidP="00186CE3">
      <w:pPr>
        <w:widowControl w:val="0"/>
        <w:contextualSpacing/>
        <w:jc w:val="both"/>
        <w:rPr>
          <w:lang w:val="en-GB"/>
        </w:rPr>
      </w:pPr>
    </w:p>
    <w:p w14:paraId="4E4BD22E" w14:textId="77777777" w:rsidR="00186CE3" w:rsidRDefault="00186CE3" w:rsidP="00186CE3">
      <w:pPr>
        <w:widowControl w:val="0"/>
        <w:contextualSpacing/>
        <w:jc w:val="both"/>
        <w:rPr>
          <w:lang w:val="en-GB"/>
        </w:rPr>
      </w:pPr>
      <w:r w:rsidRPr="005E5E86">
        <w:rPr>
          <w:b/>
          <w:lang w:val="en-GB"/>
        </w:rPr>
        <w:t>The influence of the market disequilibria</w:t>
      </w:r>
      <w:r w:rsidRPr="005E5E86">
        <w:rPr>
          <w:lang w:val="en-GB"/>
        </w:rPr>
        <w:t xml:space="preserve"> –</w:t>
      </w:r>
      <w:r>
        <w:rPr>
          <w:lang w:val="en-GB"/>
        </w:rPr>
        <w:t xml:space="preserve"> </w:t>
      </w:r>
      <w:r w:rsidRPr="005E5E86">
        <w:rPr>
          <w:lang w:val="en-GB"/>
        </w:rPr>
        <w:t>the Single European Act</w:t>
      </w:r>
      <w:r>
        <w:rPr>
          <w:lang w:val="en-GB"/>
        </w:rPr>
        <w:t xml:space="preserve"> (</w:t>
      </w:r>
      <w:r>
        <w:t xml:space="preserve">European </w:t>
      </w:r>
      <w:r w:rsidRPr="00AE396F">
        <w:t>Commission</w:t>
      </w:r>
      <w:r>
        <w:t>, 2012)</w:t>
      </w:r>
      <w:r w:rsidRPr="003A3261">
        <w:rPr>
          <w:lang w:val="en-GB"/>
        </w:rPr>
        <w:t xml:space="preserve"> </w:t>
      </w:r>
      <w:r>
        <w:rPr>
          <w:lang w:val="en-GB"/>
        </w:rPr>
        <w:t>integrated the Eurozone</w:t>
      </w:r>
      <w:r w:rsidRPr="003A3261">
        <w:rPr>
          <w:lang w:val="en-GB"/>
        </w:rPr>
        <w:t xml:space="preserve"> </w:t>
      </w:r>
      <w:r>
        <w:rPr>
          <w:lang w:val="en-GB"/>
        </w:rPr>
        <w:t>countries</w:t>
      </w:r>
      <w:r w:rsidRPr="003A3261">
        <w:rPr>
          <w:lang w:val="en-GB"/>
        </w:rPr>
        <w:t xml:space="preserve"> </w:t>
      </w:r>
      <w:r>
        <w:rPr>
          <w:lang w:val="en-GB"/>
        </w:rPr>
        <w:t>via</w:t>
      </w:r>
      <w:r w:rsidRPr="003A3261">
        <w:rPr>
          <w:lang w:val="en-GB"/>
        </w:rPr>
        <w:t xml:space="preserve"> </w:t>
      </w:r>
      <w:r>
        <w:rPr>
          <w:lang w:val="en-GB"/>
        </w:rPr>
        <w:t>s</w:t>
      </w:r>
      <w:r w:rsidRPr="003A3261">
        <w:rPr>
          <w:lang w:val="en-GB"/>
        </w:rPr>
        <w:t xml:space="preserve">ingle </w:t>
      </w:r>
      <w:r>
        <w:rPr>
          <w:lang w:val="en-GB"/>
        </w:rPr>
        <w:t>m</w:t>
      </w:r>
      <w:r w:rsidRPr="003A3261">
        <w:rPr>
          <w:lang w:val="en-GB"/>
        </w:rPr>
        <w:t xml:space="preserve">arket guaranteeing the free movement of goods, capital, services, and labour. </w:t>
      </w:r>
      <w:r>
        <w:rPr>
          <w:lang w:val="en-GB"/>
        </w:rPr>
        <w:t>Such</w:t>
      </w:r>
      <w:r w:rsidRPr="003A3261">
        <w:rPr>
          <w:lang w:val="en-GB"/>
        </w:rPr>
        <w:t xml:space="preserve"> strategy seeks to create territory free from regulatory obstacles which would enhance </w:t>
      </w:r>
      <w:r>
        <w:rPr>
          <w:lang w:val="en-GB"/>
        </w:rPr>
        <w:t>factor allocation</w:t>
      </w:r>
      <w:r w:rsidRPr="003A3261">
        <w:rPr>
          <w:lang w:val="en-GB"/>
        </w:rPr>
        <w:t xml:space="preserve"> </w:t>
      </w:r>
      <w:r>
        <w:rPr>
          <w:lang w:val="en-GB"/>
        </w:rPr>
        <w:t>and increase</w:t>
      </w:r>
      <w:r w:rsidRPr="003A3261">
        <w:rPr>
          <w:lang w:val="en-GB"/>
        </w:rPr>
        <w:t xml:space="preserve"> efficiency. </w:t>
      </w:r>
      <w:r>
        <w:rPr>
          <w:lang w:val="en-GB"/>
        </w:rPr>
        <w:t>The Act’s i</w:t>
      </w:r>
      <w:r w:rsidRPr="003A3261">
        <w:rPr>
          <w:lang w:val="en-GB"/>
        </w:rPr>
        <w:t>mplementati</w:t>
      </w:r>
      <w:r>
        <w:rPr>
          <w:lang w:val="en-GB"/>
        </w:rPr>
        <w:t>on brings about</w:t>
      </w:r>
      <w:r w:rsidRPr="003A3261">
        <w:rPr>
          <w:lang w:val="en-GB"/>
        </w:rPr>
        <w:t xml:space="preserve"> the creation of </w:t>
      </w:r>
      <w:r>
        <w:rPr>
          <w:lang w:val="en-GB"/>
        </w:rPr>
        <w:t xml:space="preserve">the </w:t>
      </w:r>
      <w:r w:rsidRPr="003A3261">
        <w:rPr>
          <w:lang w:val="en-GB"/>
        </w:rPr>
        <w:t xml:space="preserve">free market for each </w:t>
      </w:r>
      <w:r>
        <w:rPr>
          <w:lang w:val="en-GB"/>
        </w:rPr>
        <w:t>of the “</w:t>
      </w:r>
      <w:r w:rsidRPr="003A3261">
        <w:rPr>
          <w:lang w:val="en-GB"/>
        </w:rPr>
        <w:t>four freedoms</w:t>
      </w:r>
      <w:r>
        <w:rPr>
          <w:lang w:val="en-GB"/>
        </w:rPr>
        <w:t>” and results in</w:t>
      </w:r>
      <w:r w:rsidRPr="003A3261">
        <w:rPr>
          <w:lang w:val="en-GB"/>
        </w:rPr>
        <w:t xml:space="preserve"> two </w:t>
      </w:r>
      <w:r>
        <w:rPr>
          <w:lang w:val="en-GB"/>
        </w:rPr>
        <w:t>expected</w:t>
      </w:r>
      <w:r w:rsidRPr="003A3261">
        <w:rPr>
          <w:lang w:val="en-GB"/>
        </w:rPr>
        <w:t xml:space="preserve"> </w:t>
      </w:r>
      <w:r>
        <w:rPr>
          <w:lang w:val="en-GB"/>
        </w:rPr>
        <w:t>tendencies</w:t>
      </w:r>
      <w:r w:rsidRPr="003A3261">
        <w:rPr>
          <w:lang w:val="en-GB"/>
        </w:rPr>
        <w:t xml:space="preserve">. </w:t>
      </w:r>
      <w:r>
        <w:rPr>
          <w:lang w:val="en-GB"/>
        </w:rPr>
        <w:t>The f</w:t>
      </w:r>
      <w:r w:rsidRPr="003A3261">
        <w:rPr>
          <w:lang w:val="en-GB"/>
        </w:rPr>
        <w:t xml:space="preserve">irst </w:t>
      </w:r>
      <w:r>
        <w:rPr>
          <w:lang w:val="en-GB"/>
        </w:rPr>
        <w:t>one equalizes the factor prices</w:t>
      </w:r>
      <w:r w:rsidRPr="003A3261">
        <w:rPr>
          <w:lang w:val="en-GB"/>
        </w:rPr>
        <w:t xml:space="preserve"> </w:t>
      </w:r>
      <w:r>
        <w:rPr>
          <w:lang w:val="en-GB"/>
        </w:rPr>
        <w:t xml:space="preserve">via the </w:t>
      </w:r>
      <w:r w:rsidRPr="003A3261">
        <w:rPr>
          <w:lang w:val="en-GB"/>
        </w:rPr>
        <w:t xml:space="preserve">creation of </w:t>
      </w:r>
      <w:r>
        <w:rPr>
          <w:lang w:val="en-GB"/>
        </w:rPr>
        <w:t>cross-country</w:t>
      </w:r>
      <w:r w:rsidRPr="003A3261">
        <w:rPr>
          <w:lang w:val="en-GB"/>
        </w:rPr>
        <w:t xml:space="preserve"> uniform profit and wage rate</w:t>
      </w:r>
      <w:r>
        <w:rPr>
          <w:lang w:val="en-GB"/>
        </w:rPr>
        <w:t>s</w:t>
      </w:r>
      <w:r w:rsidRPr="003A3261">
        <w:rPr>
          <w:lang w:val="en-GB"/>
        </w:rPr>
        <w:t xml:space="preserve">, while the second </w:t>
      </w:r>
      <w:r>
        <w:rPr>
          <w:lang w:val="en-GB"/>
        </w:rPr>
        <w:t xml:space="preserve">one establishes </w:t>
      </w:r>
      <w:r w:rsidRPr="003A3261">
        <w:rPr>
          <w:lang w:val="en-GB"/>
        </w:rPr>
        <w:t>the long-run equilibrium</w:t>
      </w:r>
      <w:r>
        <w:rPr>
          <w:lang w:val="en-GB"/>
        </w:rPr>
        <w:t xml:space="preserve"> (production) price</w:t>
      </w:r>
      <w:r>
        <w:rPr>
          <w:rStyle w:val="FootnoteReference"/>
          <w:lang w:val="en-GB"/>
        </w:rPr>
        <w:footnoteReference w:id="4"/>
      </w:r>
      <w:r>
        <w:rPr>
          <w:lang w:val="en-GB"/>
        </w:rPr>
        <w:t>. This entails the cross-country factor rewards equivalence and</w:t>
      </w:r>
      <w:r w:rsidRPr="003A3261">
        <w:rPr>
          <w:lang w:val="en-GB"/>
        </w:rPr>
        <w:t xml:space="preserve"> </w:t>
      </w:r>
      <w:r>
        <w:rPr>
          <w:lang w:val="en-GB"/>
        </w:rPr>
        <w:t xml:space="preserve">the elimination of the </w:t>
      </w:r>
      <w:r w:rsidRPr="003A3261">
        <w:rPr>
          <w:lang w:val="en-GB"/>
        </w:rPr>
        <w:t xml:space="preserve">economic incentive for </w:t>
      </w:r>
      <w:r>
        <w:rPr>
          <w:lang w:val="en-GB"/>
        </w:rPr>
        <w:t xml:space="preserve">the </w:t>
      </w:r>
      <w:r w:rsidRPr="003A3261">
        <w:rPr>
          <w:lang w:val="en-GB"/>
        </w:rPr>
        <w:t>factor</w:t>
      </w:r>
      <w:r>
        <w:rPr>
          <w:lang w:val="en-GB"/>
        </w:rPr>
        <w:t xml:space="preserve"> </w:t>
      </w:r>
      <w:r w:rsidRPr="003A3261">
        <w:rPr>
          <w:lang w:val="en-GB"/>
        </w:rPr>
        <w:t>re-allocation</w:t>
      </w:r>
      <w:r>
        <w:rPr>
          <w:lang w:val="en-GB"/>
        </w:rPr>
        <w:t>. W</w:t>
      </w:r>
      <w:r w:rsidRPr="003A3261">
        <w:rPr>
          <w:lang w:val="en-GB"/>
        </w:rPr>
        <w:t xml:space="preserve">ithin </w:t>
      </w:r>
      <w:r>
        <w:rPr>
          <w:lang w:val="en-GB"/>
        </w:rPr>
        <w:t xml:space="preserve">the </w:t>
      </w:r>
      <w:r w:rsidRPr="003A3261">
        <w:rPr>
          <w:lang w:val="en-GB"/>
        </w:rPr>
        <w:t xml:space="preserve">equilibrium, </w:t>
      </w:r>
      <w:r>
        <w:rPr>
          <w:lang w:val="en-GB"/>
        </w:rPr>
        <w:t>the Eurozone</w:t>
      </w:r>
      <w:r w:rsidRPr="003A3261">
        <w:rPr>
          <w:lang w:val="en-GB"/>
        </w:rPr>
        <w:t xml:space="preserve">’s </w:t>
      </w:r>
      <m:oMath>
        <m:r>
          <w:rPr>
            <w:rFonts w:ascii="Cambria Math" w:hAnsi="Cambria Math"/>
            <w:lang w:val="en-GB"/>
          </w:rPr>
          <m:t>GDP</m:t>
        </m:r>
      </m:oMath>
      <w:r w:rsidRPr="003A3261">
        <w:rPr>
          <w:lang w:val="en-GB"/>
        </w:rPr>
        <w:t xml:space="preserve"> would be distributed according to the equilibrium</w:t>
      </w:r>
      <w:r>
        <w:rPr>
          <w:lang w:val="en-GB"/>
        </w:rPr>
        <w:t xml:space="preserve"> (production)</w:t>
      </w:r>
      <w:r w:rsidRPr="003A3261">
        <w:rPr>
          <w:lang w:val="en-GB"/>
        </w:rPr>
        <w:t xml:space="preserve"> prices of the commodities and services so</w:t>
      </w:r>
      <w:r>
        <w:rPr>
          <w:lang w:val="en-GB"/>
        </w:rPr>
        <w:t>ld within the individual countries</w:t>
      </w:r>
      <w:r w:rsidRPr="003A3261">
        <w:rPr>
          <w:lang w:val="en-GB"/>
        </w:rPr>
        <w:t>.</w:t>
      </w:r>
      <w:r>
        <w:rPr>
          <w:lang w:val="en-GB"/>
        </w:rPr>
        <w:t xml:space="preserve"> </w:t>
      </w:r>
      <w:r w:rsidRPr="003A3261">
        <w:rPr>
          <w:lang w:val="en-GB"/>
        </w:rPr>
        <w:t xml:space="preserve">However, due to the </w:t>
      </w:r>
      <w:r>
        <w:rPr>
          <w:lang w:val="en-GB"/>
        </w:rPr>
        <w:t xml:space="preserve">(among others) </w:t>
      </w:r>
      <w:r w:rsidRPr="003A3261">
        <w:rPr>
          <w:lang w:val="en-GB"/>
        </w:rPr>
        <w:t>monopolies</w:t>
      </w:r>
      <w:r>
        <w:rPr>
          <w:rStyle w:val="FootnoteReference"/>
          <w:lang w:val="en-GB"/>
        </w:rPr>
        <w:footnoteReference w:id="5"/>
      </w:r>
      <w:r w:rsidRPr="003A3261">
        <w:rPr>
          <w:lang w:val="en-GB"/>
        </w:rPr>
        <w:t>, imperfect competition, commodity differentiation</w:t>
      </w:r>
      <w:r>
        <w:rPr>
          <w:rStyle w:val="FootnoteReference"/>
          <w:lang w:val="en-GB"/>
        </w:rPr>
        <w:footnoteReference w:id="6"/>
      </w:r>
      <w:r w:rsidRPr="003A3261">
        <w:rPr>
          <w:lang w:val="en-GB"/>
        </w:rPr>
        <w:t xml:space="preserve">, </w:t>
      </w:r>
      <w:r>
        <w:rPr>
          <w:lang w:val="en-GB"/>
        </w:rPr>
        <w:t xml:space="preserve">and </w:t>
      </w:r>
      <w:r w:rsidRPr="003A3261">
        <w:rPr>
          <w:lang w:val="en-GB"/>
        </w:rPr>
        <w:t xml:space="preserve">non-price competition, economic </w:t>
      </w:r>
      <w:r>
        <w:rPr>
          <w:lang w:val="en-GB"/>
        </w:rPr>
        <w:t>reality deviates from the long-run equilibrium</w:t>
      </w:r>
      <w:r w:rsidRPr="003A3261">
        <w:rPr>
          <w:lang w:val="en-GB"/>
        </w:rPr>
        <w:t>.</w:t>
      </w:r>
      <w:r>
        <w:rPr>
          <w:lang w:val="en-GB"/>
        </w:rPr>
        <w:t xml:space="preserve"> Accordingly,</w:t>
      </w:r>
      <w:r w:rsidRPr="003A3261">
        <w:rPr>
          <w:lang w:val="en-GB"/>
        </w:rPr>
        <w:t xml:space="preserve"> certain member</w:t>
      </w:r>
      <w:r>
        <w:rPr>
          <w:lang w:val="en-GB"/>
        </w:rPr>
        <w:t>s</w:t>
      </w:r>
      <w:r w:rsidRPr="003A3261">
        <w:rPr>
          <w:lang w:val="en-GB"/>
        </w:rPr>
        <w:t xml:space="preserve"> fail to obtain equilibrium prices, while more successful ones</w:t>
      </w:r>
      <w:r>
        <w:rPr>
          <w:lang w:val="en-GB"/>
        </w:rPr>
        <w:t>,</w:t>
      </w:r>
      <w:r w:rsidRPr="003A3261">
        <w:rPr>
          <w:lang w:val="en-GB"/>
        </w:rPr>
        <w:t xml:space="preserve"> receive above-equilibrium prices for </w:t>
      </w:r>
      <w:r>
        <w:rPr>
          <w:lang w:val="en-GB"/>
        </w:rPr>
        <w:t xml:space="preserve">the </w:t>
      </w:r>
      <w:r w:rsidRPr="003A3261">
        <w:rPr>
          <w:lang w:val="en-GB"/>
        </w:rPr>
        <w:t>commodities and se</w:t>
      </w:r>
      <w:r>
        <w:rPr>
          <w:lang w:val="en-GB"/>
        </w:rPr>
        <w:t>rvices sold</w:t>
      </w:r>
      <w:r w:rsidRPr="003A3261">
        <w:rPr>
          <w:lang w:val="en-GB"/>
        </w:rPr>
        <w:t>.</w:t>
      </w:r>
      <w:r>
        <w:rPr>
          <w:lang w:val="en-GB"/>
        </w:rPr>
        <w:t xml:space="preserve"> Thus, the latter countries</w:t>
      </w:r>
      <w:r w:rsidRPr="003A3261">
        <w:rPr>
          <w:lang w:val="en-GB"/>
        </w:rPr>
        <w:t xml:space="preserve"> obtain above-a</w:t>
      </w:r>
      <w:r>
        <w:rPr>
          <w:lang w:val="en-GB"/>
        </w:rPr>
        <w:t>verage profit and/or wage rates</w:t>
      </w:r>
      <w:r w:rsidRPr="003A3261">
        <w:rPr>
          <w:lang w:val="en-GB"/>
        </w:rPr>
        <w:t>,</w:t>
      </w:r>
      <w:r>
        <w:rPr>
          <w:lang w:val="en-GB"/>
        </w:rPr>
        <w:t xml:space="preserve"> while</w:t>
      </w:r>
      <w:r w:rsidRPr="003A3261">
        <w:rPr>
          <w:lang w:val="en-GB"/>
        </w:rPr>
        <w:t xml:space="preserve"> </w:t>
      </w:r>
      <w:r>
        <w:rPr>
          <w:lang w:val="en-GB"/>
        </w:rPr>
        <w:t xml:space="preserve">the </w:t>
      </w:r>
      <w:r w:rsidRPr="003A3261">
        <w:rPr>
          <w:lang w:val="en-GB"/>
        </w:rPr>
        <w:t xml:space="preserve">former </w:t>
      </w:r>
      <w:r>
        <w:rPr>
          <w:lang w:val="en-GB"/>
        </w:rPr>
        <w:t>ones</w:t>
      </w:r>
      <w:r w:rsidRPr="003A3261">
        <w:rPr>
          <w:lang w:val="en-GB"/>
        </w:rPr>
        <w:t xml:space="preserve"> obtain below-av</w:t>
      </w:r>
      <w:r>
        <w:rPr>
          <w:lang w:val="en-GB"/>
        </w:rPr>
        <w:t>erage profit and/or wage rates.</w:t>
      </w:r>
    </w:p>
    <w:p w14:paraId="4DCB1330" w14:textId="77777777" w:rsidR="00186CE3" w:rsidRDefault="00186CE3" w:rsidP="00186CE3">
      <w:pPr>
        <w:widowControl w:val="0"/>
        <w:contextualSpacing/>
        <w:jc w:val="both"/>
        <w:rPr>
          <w:lang w:val="en-GB"/>
        </w:rPr>
      </w:pPr>
    </w:p>
    <w:p w14:paraId="02AC0889" w14:textId="77777777" w:rsidR="00186CE3" w:rsidRPr="003A3261" w:rsidRDefault="00186CE3" w:rsidP="00186CE3">
      <w:pPr>
        <w:widowControl w:val="0"/>
        <w:contextualSpacing/>
        <w:jc w:val="both"/>
        <w:rPr>
          <w:rStyle w:val="shorttext"/>
          <w:lang w:val="en-GB"/>
        </w:rPr>
      </w:pPr>
      <w:r>
        <w:rPr>
          <w:lang w:val="en-GB"/>
        </w:rPr>
        <w:t>In this sense, the unequal exchange as the market disequilibria outcome (Ricci, 2018)</w:t>
      </w:r>
      <w:r w:rsidRPr="003A3261">
        <w:rPr>
          <w:rStyle w:val="shorttext"/>
          <w:lang w:val="en-GB"/>
        </w:rPr>
        <w:t xml:space="preserve"> lead</w:t>
      </w:r>
      <w:r>
        <w:rPr>
          <w:rStyle w:val="shorttext"/>
          <w:lang w:val="en-GB"/>
        </w:rPr>
        <w:t>s</w:t>
      </w:r>
      <w:r w:rsidRPr="003A3261">
        <w:rPr>
          <w:rStyle w:val="shorttext"/>
          <w:lang w:val="en-GB"/>
        </w:rPr>
        <w:t xml:space="preserve"> to</w:t>
      </w:r>
      <w:r>
        <w:rPr>
          <w:rStyle w:val="shorttext"/>
          <w:lang w:val="en-GB"/>
        </w:rPr>
        <w:t xml:space="preserve"> </w:t>
      </w:r>
      <w:r w:rsidRPr="003A3261">
        <w:rPr>
          <w:rStyle w:val="shorttext"/>
          <w:lang w:val="en-GB"/>
        </w:rPr>
        <w:t xml:space="preserve">divergence and </w:t>
      </w:r>
      <w:r>
        <w:rPr>
          <w:rStyle w:val="shorttext"/>
          <w:lang w:val="en-GB"/>
        </w:rPr>
        <w:t>becomes</w:t>
      </w:r>
      <w:r w:rsidRPr="003A3261">
        <w:rPr>
          <w:rStyle w:val="shorttext"/>
          <w:lang w:val="en-GB"/>
        </w:rPr>
        <w:t xml:space="preserve"> </w:t>
      </w:r>
      <w:r>
        <w:rPr>
          <w:rStyle w:val="shorttext"/>
          <w:lang w:val="en-GB"/>
        </w:rPr>
        <w:t xml:space="preserve">the </w:t>
      </w:r>
      <w:r w:rsidRPr="003A3261">
        <w:rPr>
          <w:rStyle w:val="shorttext"/>
          <w:lang w:val="en-GB"/>
        </w:rPr>
        <w:t xml:space="preserve">first source of the </w:t>
      </w:r>
      <w:r>
        <w:rPr>
          <w:rStyle w:val="shorttext"/>
          <w:lang w:val="en-GB"/>
        </w:rPr>
        <w:t>Eurozone</w:t>
      </w:r>
      <w:r w:rsidRPr="003A3261">
        <w:rPr>
          <w:rStyle w:val="shorttext"/>
          <w:lang w:val="en-GB"/>
        </w:rPr>
        <w:t xml:space="preserve">’s cross-country inequality. </w:t>
      </w:r>
      <w:r>
        <w:rPr>
          <w:rStyle w:val="shorttext"/>
          <w:lang w:val="en-GB"/>
        </w:rPr>
        <w:t>T</w:t>
      </w:r>
      <w:r w:rsidRPr="003A3261">
        <w:rPr>
          <w:rStyle w:val="shorttext"/>
          <w:lang w:val="en-GB"/>
        </w:rPr>
        <w:t>he influence of disequilibrium prices on</w:t>
      </w:r>
      <w:r>
        <w:rPr>
          <w:rStyle w:val="shorttext"/>
          <w:lang w:val="en-GB"/>
        </w:rPr>
        <w:t xml:space="preserve"> the</w:t>
      </w:r>
      <w:r w:rsidRPr="003A3261">
        <w:rPr>
          <w:rStyle w:val="shorttext"/>
          <w:lang w:val="en-GB"/>
        </w:rPr>
        <w:t xml:space="preserve"> economic performance is quantitatively investigated th</w:t>
      </w:r>
      <w:r>
        <w:rPr>
          <w:rStyle w:val="shorttext"/>
          <w:lang w:val="en-GB"/>
        </w:rPr>
        <w:t>rough the variation between countries’ actual and equilibrium</w:t>
      </w:r>
      <w:r w:rsidRPr="003A3261">
        <w:rPr>
          <w:rStyle w:val="shorttext"/>
          <w:lang w:val="en-GB"/>
        </w:rPr>
        <w:t xml:space="preserve"> </w:t>
      </w:r>
      <m:oMath>
        <m:r>
          <w:rPr>
            <w:rFonts w:ascii="Cambria Math" w:hAnsi="Cambria Math"/>
            <w:lang w:val="en-GB"/>
          </w:rPr>
          <m:t>GDP</m:t>
        </m:r>
      </m:oMath>
      <w:r>
        <w:rPr>
          <w:lang w:val="en-GB"/>
        </w:rPr>
        <w:t xml:space="preserve">. </w:t>
      </w:r>
      <w:r w:rsidRPr="003A3261">
        <w:rPr>
          <w:lang w:val="en-GB"/>
        </w:rPr>
        <w:t>The</w:t>
      </w:r>
      <w:r>
        <w:rPr>
          <w:lang w:val="en-GB"/>
        </w:rPr>
        <w:t xml:space="preserve"> intuition behind choosing this ratio </w:t>
      </w:r>
      <w:r w:rsidRPr="003A3261">
        <w:rPr>
          <w:lang w:val="en-GB"/>
        </w:rPr>
        <w:t>is str</w:t>
      </w:r>
      <w:r>
        <w:rPr>
          <w:lang w:val="en-GB"/>
        </w:rPr>
        <w:t>aightforward given that the actual</w:t>
      </w:r>
      <w:r w:rsidRPr="003A3261">
        <w:rPr>
          <w:lang w:val="en-GB"/>
        </w:rPr>
        <w:t xml:space="preserve"> </w:t>
      </w:r>
      <m:oMath>
        <m:r>
          <w:rPr>
            <w:rFonts w:ascii="Cambria Math" w:hAnsi="Cambria Math"/>
            <w:lang w:val="en-GB"/>
          </w:rPr>
          <m:t>GDP</m:t>
        </m:r>
      </m:oMath>
      <w:r>
        <w:rPr>
          <w:lang w:val="en-GB"/>
        </w:rPr>
        <w:t xml:space="preserve"> consists of (probably) disequilibrium prices while</w:t>
      </w:r>
      <w:r w:rsidRPr="003A3261">
        <w:rPr>
          <w:lang w:val="en-GB"/>
        </w:rPr>
        <w:t xml:space="preserve"> </w:t>
      </w:r>
      <w:r>
        <w:rPr>
          <w:lang w:val="en-GB"/>
        </w:rPr>
        <w:t xml:space="preserve">the </w:t>
      </w:r>
      <w:r>
        <w:rPr>
          <w:rStyle w:val="shorttext"/>
          <w:lang w:val="en-GB"/>
        </w:rPr>
        <w:t>equilibrium</w:t>
      </w:r>
      <w:r w:rsidRPr="003A3261">
        <w:rPr>
          <w:rStyle w:val="shorttext"/>
          <w:lang w:val="en-GB"/>
        </w:rPr>
        <w:t xml:space="preserve"> </w:t>
      </w:r>
      <m:oMath>
        <m:r>
          <w:rPr>
            <w:rFonts w:ascii="Cambria Math" w:hAnsi="Cambria Math"/>
            <w:lang w:val="en-GB"/>
          </w:rPr>
          <m:t>GDP</m:t>
        </m:r>
      </m:oMath>
      <w:r w:rsidRPr="003A3261">
        <w:rPr>
          <w:lang w:val="en-GB"/>
        </w:rPr>
        <w:t xml:space="preserve"> consists of equilibrium</w:t>
      </w:r>
      <w:r>
        <w:rPr>
          <w:lang w:val="en-GB"/>
        </w:rPr>
        <w:t xml:space="preserve"> (production)</w:t>
      </w:r>
      <w:r w:rsidRPr="003A3261">
        <w:rPr>
          <w:lang w:val="en-GB"/>
        </w:rPr>
        <w:t xml:space="preserve"> price</w:t>
      </w:r>
      <w:r>
        <w:rPr>
          <w:lang w:val="en-GB"/>
        </w:rPr>
        <w:t>s computed by distributing the Eurozone’s aggregate</w:t>
      </w:r>
      <w:r w:rsidRPr="003A3261">
        <w:rPr>
          <w:lang w:val="en-GB"/>
        </w:rPr>
        <w:t xml:space="preserve"> </w:t>
      </w:r>
      <m:oMath>
        <m:r>
          <w:rPr>
            <w:rFonts w:ascii="Cambria Math" w:hAnsi="Cambria Math"/>
            <w:lang w:val="en-GB"/>
          </w:rPr>
          <m:t>GDP</m:t>
        </m:r>
      </m:oMath>
      <w:r w:rsidRPr="003A3261">
        <w:rPr>
          <w:lang w:val="en-GB"/>
        </w:rPr>
        <w:t xml:space="preserve"> among countries according to the equilibrium profit and wage rates.</w:t>
      </w:r>
    </w:p>
    <w:p w14:paraId="1CD0190F" w14:textId="77777777" w:rsidR="00186CE3" w:rsidRPr="003A3261" w:rsidRDefault="00186CE3" w:rsidP="00186CE3">
      <w:pPr>
        <w:widowControl w:val="0"/>
        <w:jc w:val="both"/>
        <w:rPr>
          <w:rStyle w:val="shorttext"/>
          <w:b/>
          <w:lang w:val="en-GB"/>
        </w:rPr>
      </w:pPr>
    </w:p>
    <w:p w14:paraId="765E0B25" w14:textId="77777777" w:rsidR="00186CE3" w:rsidRPr="0088669F" w:rsidRDefault="00186CE3" w:rsidP="00186CE3">
      <w:pPr>
        <w:widowControl w:val="0"/>
        <w:tabs>
          <w:tab w:val="left" w:pos="6877"/>
        </w:tabs>
        <w:jc w:val="both"/>
        <w:rPr>
          <w:rFonts w:eastAsiaTheme="minorHAnsi"/>
          <w:szCs w:val="20"/>
          <w:lang w:val="en-GB"/>
        </w:rPr>
      </w:pPr>
      <w:r w:rsidRPr="008D11F3">
        <w:rPr>
          <w:rStyle w:val="shorttext"/>
          <w:b/>
          <w:lang w:val="en-GB"/>
        </w:rPr>
        <w:t>The influence of capital-labour ratios</w:t>
      </w:r>
      <w:r w:rsidRPr="008D11F3">
        <w:rPr>
          <w:rStyle w:val="shorttext"/>
          <w:lang w:val="en-GB"/>
        </w:rPr>
        <w:t xml:space="preserve"> – the Eurozone’s </w:t>
      </w:r>
      <m:oMath>
        <m:r>
          <w:rPr>
            <w:rFonts w:ascii="Cambria Math" w:hAnsi="Cambria Math"/>
            <w:lang w:val="en-GB"/>
          </w:rPr>
          <m:t>GDP</m:t>
        </m:r>
      </m:oMath>
      <w:r w:rsidRPr="008D11F3">
        <w:rPr>
          <w:lang w:val="en-GB"/>
        </w:rPr>
        <w:t xml:space="preserve"> is the outcome of </w:t>
      </w:r>
      <w:r>
        <w:rPr>
          <w:lang w:val="en-GB"/>
        </w:rPr>
        <w:t xml:space="preserve">the </w:t>
      </w:r>
      <w:r w:rsidRPr="008D11F3">
        <w:rPr>
          <w:lang w:val="en-GB"/>
        </w:rPr>
        <w:t>labour</w:t>
      </w:r>
      <w:r w:rsidRPr="003A3261">
        <w:rPr>
          <w:lang w:val="en-GB"/>
        </w:rPr>
        <w:t xml:space="preserve"> consumed for the production of commodities and services. </w:t>
      </w:r>
      <w:r>
        <w:rPr>
          <w:lang w:val="en-GB"/>
        </w:rPr>
        <w:t>G</w:t>
      </w:r>
      <w:r w:rsidRPr="003A3261">
        <w:rPr>
          <w:lang w:val="en-GB"/>
        </w:rPr>
        <w:t>i</w:t>
      </w:r>
      <w:r>
        <w:rPr>
          <w:lang w:val="en-GB"/>
        </w:rPr>
        <w:t>ven that the actua</w:t>
      </w:r>
      <w:r w:rsidRPr="003A3261">
        <w:rPr>
          <w:lang w:val="en-GB"/>
        </w:rPr>
        <w:t xml:space="preserve">l prices are </w:t>
      </w:r>
      <w:r>
        <w:rPr>
          <w:lang w:val="en-GB"/>
        </w:rPr>
        <w:t>dis</w:t>
      </w:r>
      <w:r w:rsidRPr="003A3261">
        <w:rPr>
          <w:lang w:val="en-GB"/>
        </w:rPr>
        <w:t xml:space="preserve">proportionate to the consumed labour, the individual </w:t>
      </w:r>
      <w:r>
        <w:rPr>
          <w:lang w:val="en-GB"/>
        </w:rPr>
        <w:t>country</w:t>
      </w:r>
      <w:r w:rsidRPr="003A3261">
        <w:rPr>
          <w:lang w:val="en-GB"/>
        </w:rPr>
        <w:t xml:space="preserve"> do</w:t>
      </w:r>
      <w:r>
        <w:rPr>
          <w:lang w:val="en-GB"/>
        </w:rPr>
        <w:t>es</w:t>
      </w:r>
      <w:r w:rsidRPr="003A3261">
        <w:rPr>
          <w:lang w:val="en-GB"/>
        </w:rPr>
        <w:t xml:space="preserve"> not appropriate </w:t>
      </w:r>
      <w:r>
        <w:rPr>
          <w:lang w:val="en-GB"/>
        </w:rPr>
        <w:t xml:space="preserve">its </w:t>
      </w:r>
      <m:oMath>
        <m:r>
          <w:rPr>
            <w:rFonts w:ascii="Cambria Math" w:hAnsi="Cambria Math"/>
            <w:lang w:val="en-GB"/>
          </w:rPr>
          <m:t>GDP</m:t>
        </m:r>
      </m:oMath>
      <w:r w:rsidRPr="003A3261">
        <w:rPr>
          <w:lang w:val="en-GB"/>
        </w:rPr>
        <w:t xml:space="preserve"> in accordance with the labour consumption, i.e. market forces alter the magnitude in which consumed labour is reflected within the </w:t>
      </w:r>
      <m:oMath>
        <m:r>
          <w:rPr>
            <w:rFonts w:ascii="Cambria Math" w:hAnsi="Cambria Math"/>
            <w:lang w:val="en-GB"/>
          </w:rPr>
          <m:t>GDP</m:t>
        </m:r>
      </m:oMath>
      <w:r w:rsidRPr="003A3261">
        <w:rPr>
          <w:lang w:val="en-GB"/>
        </w:rPr>
        <w:t xml:space="preserve">. With this in mind, </w:t>
      </w:r>
      <w:r>
        <w:rPr>
          <w:lang w:val="en-GB"/>
        </w:rPr>
        <w:t>the “so-called” new value created is received by</w:t>
      </w:r>
      <w:r w:rsidRPr="003A3261">
        <w:rPr>
          <w:lang w:val="en-GB"/>
        </w:rPr>
        <w:t xml:space="preserve"> </w:t>
      </w:r>
      <w:r>
        <w:rPr>
          <w:lang w:val="en-GB"/>
        </w:rPr>
        <w:t>distributing</w:t>
      </w:r>
      <w:r w:rsidRPr="003A3261">
        <w:rPr>
          <w:lang w:val="en-GB"/>
        </w:rPr>
        <w:t xml:space="preserve"> the </w:t>
      </w:r>
      <w:r>
        <w:rPr>
          <w:lang w:val="en-GB"/>
        </w:rPr>
        <w:t>aggregate</w:t>
      </w:r>
      <w:r w:rsidRPr="003A3261">
        <w:rPr>
          <w:lang w:val="en-GB"/>
        </w:rPr>
        <w:t xml:space="preserve"> </w:t>
      </w:r>
      <w:r>
        <w:rPr>
          <w:lang w:val="en-GB"/>
        </w:rPr>
        <w:t>Eurozone</w:t>
      </w:r>
      <w:r w:rsidRPr="003A3261">
        <w:rPr>
          <w:lang w:val="en-GB"/>
        </w:rPr>
        <w:t xml:space="preserve">’s </w:t>
      </w:r>
      <m:oMath>
        <m:r>
          <w:rPr>
            <w:rFonts w:ascii="Cambria Math" w:hAnsi="Cambria Math"/>
            <w:lang w:val="en-GB"/>
          </w:rPr>
          <m:t>GDP</m:t>
        </m:r>
      </m:oMath>
      <w:r w:rsidRPr="003A3261">
        <w:rPr>
          <w:lang w:val="en-GB"/>
        </w:rPr>
        <w:t xml:space="preserve"> accordin</w:t>
      </w:r>
      <w:r>
        <w:rPr>
          <w:lang w:val="en-GB"/>
        </w:rPr>
        <w:t>g</w:t>
      </w:r>
      <w:r w:rsidRPr="003A3261">
        <w:rPr>
          <w:lang w:val="en-GB"/>
        </w:rPr>
        <w:t xml:space="preserve"> to the labour consumed within an individual country. </w:t>
      </w:r>
      <w:r>
        <w:rPr>
          <w:lang w:val="en-GB"/>
        </w:rPr>
        <w:t>W</w:t>
      </w:r>
      <w:r w:rsidRPr="003A3261">
        <w:rPr>
          <w:lang w:val="en-GB"/>
        </w:rPr>
        <w:t xml:space="preserve">ith the </w:t>
      </w:r>
      <w:r>
        <w:rPr>
          <w:lang w:val="en-GB"/>
        </w:rPr>
        <w:t>onset</w:t>
      </w:r>
      <w:r w:rsidRPr="003A3261">
        <w:rPr>
          <w:lang w:val="en-GB"/>
        </w:rPr>
        <w:t xml:space="preserve"> of capitalism the distribution of </w:t>
      </w:r>
      <m:oMath>
        <m:r>
          <w:rPr>
            <w:rFonts w:ascii="Cambria Math" w:hAnsi="Cambria Math"/>
            <w:lang w:val="en-GB"/>
          </w:rPr>
          <m:t>GDP</m:t>
        </m:r>
      </m:oMath>
      <w:r w:rsidRPr="003A3261">
        <w:rPr>
          <w:lang w:val="en-GB"/>
        </w:rPr>
        <w:t xml:space="preserve"> among countries</w:t>
      </w:r>
      <w:r>
        <w:rPr>
          <w:lang w:val="en-GB"/>
        </w:rPr>
        <w:t>, apart from consumed labour</w:t>
      </w:r>
      <w:r w:rsidRPr="003A3261">
        <w:rPr>
          <w:lang w:val="en-GB"/>
        </w:rPr>
        <w:t xml:space="preserve">, </w:t>
      </w:r>
      <w:r>
        <w:rPr>
          <w:lang w:val="en-GB"/>
        </w:rPr>
        <w:t>must</w:t>
      </w:r>
      <w:r w:rsidRPr="003A3261">
        <w:rPr>
          <w:lang w:val="en-GB"/>
        </w:rPr>
        <w:t xml:space="preserve"> reflect ret</w:t>
      </w:r>
      <w:r>
        <w:rPr>
          <w:lang w:val="en-GB"/>
        </w:rPr>
        <w:t>urns on capital without which production cannot be realized. Thus, t</w:t>
      </w:r>
      <w:r w:rsidRPr="003A3261">
        <w:rPr>
          <w:lang w:val="en-GB"/>
        </w:rPr>
        <w:t xml:space="preserve">he </w:t>
      </w:r>
      <w:r>
        <w:rPr>
          <w:lang w:val="en-GB"/>
        </w:rPr>
        <w:t xml:space="preserve">countries’ </w:t>
      </w:r>
      <w:r w:rsidRPr="003A3261">
        <w:rPr>
          <w:lang w:val="en-GB"/>
        </w:rPr>
        <w:t>a</w:t>
      </w:r>
      <w:r>
        <w:rPr>
          <w:lang w:val="en-GB"/>
        </w:rPr>
        <w:t>ppropriation of the aggregate</w:t>
      </w:r>
      <w:r w:rsidRPr="003A3261">
        <w:rPr>
          <w:lang w:val="en-GB"/>
        </w:rPr>
        <w:t xml:space="preserve"> </w:t>
      </w:r>
      <m:oMath>
        <m:r>
          <w:rPr>
            <w:rFonts w:ascii="Cambria Math" w:hAnsi="Cambria Math"/>
            <w:lang w:val="en-GB"/>
          </w:rPr>
          <m:t>GDP</m:t>
        </m:r>
      </m:oMath>
      <w:r>
        <w:rPr>
          <w:lang w:val="en-GB"/>
        </w:rPr>
        <w:t>, in addition to</w:t>
      </w:r>
      <w:r w:rsidRPr="003A3261">
        <w:rPr>
          <w:lang w:val="en-GB"/>
        </w:rPr>
        <w:t xml:space="preserve"> consumed labour, </w:t>
      </w:r>
      <w:r>
        <w:rPr>
          <w:lang w:val="en-GB"/>
        </w:rPr>
        <w:t>must account for</w:t>
      </w:r>
      <w:r w:rsidRPr="003A3261">
        <w:rPr>
          <w:lang w:val="en-GB"/>
        </w:rPr>
        <w:t xml:space="preserve"> </w:t>
      </w:r>
      <w:r>
        <w:rPr>
          <w:lang w:val="en-GB"/>
        </w:rPr>
        <w:t xml:space="preserve">employed </w:t>
      </w:r>
      <w:r w:rsidRPr="003A3261">
        <w:rPr>
          <w:lang w:val="en-GB"/>
        </w:rPr>
        <w:t>capi</w:t>
      </w:r>
      <w:r>
        <w:rPr>
          <w:lang w:val="en-GB"/>
        </w:rPr>
        <w:t>tal. Even if the market prices are aligned with</w:t>
      </w:r>
      <w:r w:rsidRPr="003A3261">
        <w:rPr>
          <w:lang w:val="en-GB"/>
        </w:rPr>
        <w:t xml:space="preserve"> long-run equilibrium, guar</w:t>
      </w:r>
      <w:r>
        <w:rPr>
          <w:lang w:val="en-GB"/>
        </w:rPr>
        <w:t xml:space="preserve">anteeing equal gross wage </w:t>
      </w:r>
      <w:r w:rsidRPr="003A3261">
        <w:rPr>
          <w:lang w:val="en-GB"/>
        </w:rPr>
        <w:t>and p</w:t>
      </w:r>
      <w:r>
        <w:rPr>
          <w:lang w:val="en-GB"/>
        </w:rPr>
        <w:t>rofit rates in all countries</w:t>
      </w:r>
      <w:r w:rsidRPr="003A3261">
        <w:rPr>
          <w:lang w:val="en-GB"/>
        </w:rPr>
        <w:t>, the</w:t>
      </w:r>
      <w:r>
        <w:rPr>
          <w:lang w:val="en-GB"/>
        </w:rPr>
        <w:t xml:space="preserve"> individual countries’</w:t>
      </w:r>
      <w:r w:rsidRPr="003A3261">
        <w:rPr>
          <w:lang w:val="en-GB"/>
        </w:rPr>
        <w:t xml:space="preserve"> </w:t>
      </w:r>
      <m:oMath>
        <m:r>
          <w:rPr>
            <w:rFonts w:ascii="Cambria Math" w:hAnsi="Cambria Math"/>
            <w:lang w:val="en-GB"/>
          </w:rPr>
          <m:t>GDP</m:t>
        </m:r>
      </m:oMath>
      <w:r w:rsidRPr="003A3261">
        <w:rPr>
          <w:lang w:val="en-GB"/>
        </w:rPr>
        <w:t xml:space="preserve"> would not be proportionate to the</w:t>
      </w:r>
      <w:r>
        <w:rPr>
          <w:lang w:val="en-GB"/>
        </w:rPr>
        <w:t xml:space="preserve"> </w:t>
      </w:r>
      <w:r w:rsidRPr="003A3261">
        <w:rPr>
          <w:lang w:val="en-GB"/>
        </w:rPr>
        <w:t>consumed</w:t>
      </w:r>
      <w:r>
        <w:rPr>
          <w:lang w:val="en-GB"/>
        </w:rPr>
        <w:t xml:space="preserve"> labour</w:t>
      </w:r>
      <w:r w:rsidRPr="003A3261">
        <w:rPr>
          <w:lang w:val="en-GB"/>
        </w:rPr>
        <w:t xml:space="preserve">. </w:t>
      </w:r>
      <w:r>
        <w:rPr>
          <w:lang w:val="en-GB"/>
        </w:rPr>
        <w:t xml:space="preserve">Consequently, </w:t>
      </w:r>
      <w:r w:rsidRPr="003A3261">
        <w:rPr>
          <w:lang w:val="en-GB"/>
        </w:rPr>
        <w:t>countries that</w:t>
      </w:r>
      <w:r>
        <w:rPr>
          <w:lang w:val="en-GB"/>
        </w:rPr>
        <w:t>,</w:t>
      </w:r>
      <w:r w:rsidRPr="003A3261">
        <w:rPr>
          <w:lang w:val="en-GB"/>
        </w:rPr>
        <w:t xml:space="preserve"> per unit of labour</w:t>
      </w:r>
      <w:r>
        <w:rPr>
          <w:lang w:val="en-GB"/>
        </w:rPr>
        <w:t>,</w:t>
      </w:r>
      <w:r w:rsidRPr="003A3261">
        <w:rPr>
          <w:lang w:val="en-GB"/>
        </w:rPr>
        <w:t xml:space="preserve"> have less capital than the</w:t>
      </w:r>
      <w:r>
        <w:rPr>
          <w:lang w:val="en-GB"/>
        </w:rPr>
        <w:t xml:space="preserve"> Eurozone’s average</w:t>
      </w:r>
      <w:r w:rsidRPr="003A3261">
        <w:rPr>
          <w:lang w:val="en-GB"/>
        </w:rPr>
        <w:t xml:space="preserve">, have </w:t>
      </w:r>
      <w:r>
        <w:rPr>
          <w:lang w:val="en-GB"/>
        </w:rPr>
        <w:t xml:space="preserve">the higher </w:t>
      </w:r>
      <m:oMath>
        <m:r>
          <w:rPr>
            <w:rFonts w:ascii="Cambria Math" w:hAnsi="Cambria Math"/>
            <w:lang w:val="en-GB"/>
          </w:rPr>
          <m:t>NV</m:t>
        </m:r>
      </m:oMath>
      <w:r w:rsidRPr="003A3261">
        <w:rPr>
          <w:lang w:val="en-GB"/>
        </w:rPr>
        <w:t xml:space="preserve"> than </w:t>
      </w:r>
      <w:r>
        <w:rPr>
          <w:lang w:val="en-GB"/>
        </w:rPr>
        <w:t xml:space="preserve">the </w:t>
      </w:r>
      <w:r>
        <w:rPr>
          <w:rStyle w:val="shorttext"/>
          <w:lang w:val="en-GB"/>
        </w:rPr>
        <w:t>equilibrium</w:t>
      </w:r>
      <w:r w:rsidRPr="003A3261">
        <w:rPr>
          <w:rStyle w:val="shorttext"/>
          <w:lang w:val="en-GB"/>
        </w:rPr>
        <w:t xml:space="preserve"> </w:t>
      </w:r>
      <m:oMath>
        <m:r>
          <w:rPr>
            <w:rFonts w:ascii="Cambria Math" w:hAnsi="Cambria Math"/>
            <w:lang w:val="en-GB"/>
          </w:rPr>
          <m:t>GDP</m:t>
        </m:r>
      </m:oMath>
      <w:r>
        <w:rPr>
          <w:lang w:val="en-GB"/>
        </w:rPr>
        <w:t>, and vice versa</w:t>
      </w:r>
      <w:r w:rsidRPr="003A3261">
        <w:rPr>
          <w:lang w:val="en-GB"/>
        </w:rPr>
        <w:t xml:space="preserve">. </w:t>
      </w:r>
      <w:r>
        <w:rPr>
          <w:lang w:val="en-GB"/>
        </w:rPr>
        <w:t xml:space="preserve">This is what Emmanuel (1972) </w:t>
      </w:r>
      <w:r w:rsidRPr="004F69B3">
        <w:rPr>
          <w:color w:val="000000" w:themeColor="text1"/>
          <w:lang w:val="en-GB"/>
        </w:rPr>
        <w:t xml:space="preserve">defines as the </w:t>
      </w:r>
      <w:r w:rsidRPr="004F69B3">
        <w:rPr>
          <w:rStyle w:val="5yl5"/>
          <w:rFonts w:eastAsiaTheme="majorEastAsia"/>
          <w:color w:val="000000" w:themeColor="text1"/>
          <w:lang w:val="en-GB"/>
        </w:rPr>
        <w:t xml:space="preserve">unequal exchange in a broad sense arising from different capital intensities and </w:t>
      </w:r>
      <w:r>
        <w:rPr>
          <w:rStyle w:val="5yl5"/>
          <w:rFonts w:eastAsiaTheme="majorEastAsia"/>
          <w:color w:val="000000" w:themeColor="text1"/>
          <w:lang w:val="en-GB"/>
        </w:rPr>
        <w:t>transferring the</w:t>
      </w:r>
      <w:r w:rsidRPr="004F69B3">
        <w:rPr>
          <w:rStyle w:val="5yl5"/>
          <w:rFonts w:eastAsiaTheme="majorEastAsia"/>
          <w:color w:val="000000" w:themeColor="text1"/>
          <w:lang w:val="en-GB"/>
        </w:rPr>
        <w:t xml:space="preserve"> values toward the countries with high capital-intensive industries</w:t>
      </w:r>
      <w:r>
        <w:rPr>
          <w:rStyle w:val="5yl5"/>
          <w:rFonts w:eastAsiaTheme="majorEastAsia"/>
          <w:color w:val="000000" w:themeColor="text1"/>
          <w:lang w:val="en-GB"/>
        </w:rPr>
        <w:t xml:space="preserve">. This process is recognized </w:t>
      </w:r>
      <w:r>
        <w:rPr>
          <w:lang w:val="en-GB"/>
        </w:rPr>
        <w:t>by Fine and Saad-Filho (2010, p. 11):</w:t>
      </w:r>
      <w:r>
        <w:rPr>
          <w:i/>
          <w:lang w:val="en-GB"/>
        </w:rPr>
        <w:t xml:space="preserve"> “outputs do not exchange at their values but at prices of production. These prices of production differ from values, as the composition of </w:t>
      </w:r>
      <w:r w:rsidRPr="0088669F">
        <w:rPr>
          <w:i/>
          <w:lang w:val="en-GB"/>
        </w:rPr>
        <w:t>capital is greater or less than the average for the economy as a whole”</w:t>
      </w:r>
      <w:r w:rsidRPr="0088669F">
        <w:rPr>
          <w:lang w:val="en-GB"/>
        </w:rPr>
        <w:t>. I</w:t>
      </w:r>
      <w:r w:rsidRPr="0088669F">
        <w:rPr>
          <w:rFonts w:eastAsiaTheme="minorHAnsi"/>
          <w:szCs w:val="20"/>
          <w:lang w:val="en-GB"/>
        </w:rPr>
        <w:t>nfluenced by the unequal value composition of capital, the latter happens even when rates of trading countries’ surplus values are equivalent to their average world counterparts (</w:t>
      </w:r>
      <w:proofErr w:type="spellStart"/>
      <w:r w:rsidRPr="0088669F">
        <w:rPr>
          <w:rFonts w:eastAsiaTheme="minorHAnsi"/>
          <w:szCs w:val="20"/>
          <w:lang w:val="en-GB"/>
        </w:rPr>
        <w:t>Tsaliki</w:t>
      </w:r>
      <w:proofErr w:type="spellEnd"/>
      <w:r w:rsidRPr="0088669F">
        <w:rPr>
          <w:rFonts w:eastAsiaTheme="minorHAnsi"/>
          <w:szCs w:val="20"/>
          <w:lang w:val="en-GB"/>
        </w:rPr>
        <w:t xml:space="preserve">, </w:t>
      </w:r>
      <w:proofErr w:type="spellStart"/>
      <w:r w:rsidRPr="0088669F">
        <w:rPr>
          <w:rFonts w:eastAsiaTheme="minorHAnsi"/>
          <w:szCs w:val="20"/>
          <w:lang w:val="en-GB"/>
        </w:rPr>
        <w:t>Paraskevopoulu</w:t>
      </w:r>
      <w:proofErr w:type="spellEnd"/>
      <w:r w:rsidRPr="0088669F">
        <w:rPr>
          <w:rFonts w:eastAsiaTheme="minorHAnsi"/>
          <w:szCs w:val="20"/>
          <w:lang w:val="en-GB"/>
        </w:rPr>
        <w:t xml:space="preserve">, and </w:t>
      </w:r>
      <w:proofErr w:type="spellStart"/>
      <w:r w:rsidRPr="0088669F">
        <w:rPr>
          <w:rFonts w:eastAsiaTheme="minorHAnsi"/>
          <w:szCs w:val="20"/>
          <w:lang w:val="en-GB"/>
        </w:rPr>
        <w:t>Tsoulfidis</w:t>
      </w:r>
      <w:proofErr w:type="spellEnd"/>
      <w:r w:rsidRPr="0088669F">
        <w:rPr>
          <w:rFonts w:eastAsiaTheme="minorHAnsi"/>
          <w:szCs w:val="20"/>
          <w:lang w:val="en-GB"/>
        </w:rPr>
        <w:t>, 2017)</w:t>
      </w:r>
      <w:r w:rsidRPr="0088669F">
        <w:rPr>
          <w:rFonts w:eastAsiaTheme="minorHAnsi"/>
          <w:i/>
          <w:sz w:val="20"/>
          <w:szCs w:val="20"/>
          <w:lang w:val="en-GB"/>
        </w:rPr>
        <w:t>.</w:t>
      </w:r>
      <w:r w:rsidRPr="0088669F">
        <w:rPr>
          <w:rFonts w:eastAsiaTheme="minorHAnsi"/>
          <w:sz w:val="20"/>
          <w:szCs w:val="20"/>
          <w:lang w:val="en-GB"/>
        </w:rPr>
        <w:t xml:space="preserve"> </w:t>
      </w:r>
      <w:r w:rsidRPr="0088669F">
        <w:rPr>
          <w:lang w:val="en-GB"/>
        </w:rPr>
        <w:t>Therefore, the countries with average capital-labour ratios, yield a</w:t>
      </w:r>
      <w:r>
        <w:rPr>
          <w:lang w:val="en-GB"/>
        </w:rPr>
        <w:t>n</w:t>
      </w:r>
      <w:r w:rsidRPr="0088669F">
        <w:rPr>
          <w:lang w:val="en-GB"/>
        </w:rPr>
        <w:t xml:space="preserve"> </w:t>
      </w:r>
      <w:r>
        <w:rPr>
          <w:rStyle w:val="shorttext"/>
          <w:lang w:val="en-GB"/>
        </w:rPr>
        <w:t>equilibrium</w:t>
      </w:r>
      <w:r w:rsidRPr="003A3261">
        <w:rPr>
          <w:rStyle w:val="shorttext"/>
          <w:lang w:val="en-GB"/>
        </w:rPr>
        <w:t xml:space="preserve"> </w:t>
      </w:r>
      <m:oMath>
        <m:r>
          <w:rPr>
            <w:rFonts w:ascii="Cambria Math" w:hAnsi="Cambria Math"/>
            <w:lang w:val="en-GB"/>
          </w:rPr>
          <m:t>GDP</m:t>
        </m:r>
      </m:oMath>
      <w:r w:rsidRPr="0088669F">
        <w:rPr>
          <w:lang w:val="en-GB"/>
        </w:rPr>
        <w:t xml:space="preserve"> equivalent to the consumed labour relative to the Eurozone’s total consumed labour.</w:t>
      </w:r>
    </w:p>
    <w:p w14:paraId="10DE9237" w14:textId="77777777" w:rsidR="00186CE3" w:rsidRPr="003A3261" w:rsidRDefault="00186CE3" w:rsidP="00186CE3">
      <w:pPr>
        <w:widowControl w:val="0"/>
        <w:jc w:val="both"/>
        <w:rPr>
          <w:lang w:val="en-GB"/>
        </w:rPr>
      </w:pPr>
    </w:p>
    <w:p w14:paraId="459C008D" w14:textId="77777777" w:rsidR="00186CE3" w:rsidRPr="003A3261" w:rsidRDefault="00186CE3" w:rsidP="00186CE3">
      <w:pPr>
        <w:widowControl w:val="0"/>
        <w:jc w:val="both"/>
        <w:rPr>
          <w:color w:val="000000" w:themeColor="text1"/>
          <w:lang w:val="en-GB"/>
        </w:rPr>
      </w:pPr>
      <w:r w:rsidRPr="00604DD5">
        <w:rPr>
          <w:rStyle w:val="shorttext"/>
          <w:b/>
          <w:lang w:val="en-GB"/>
        </w:rPr>
        <w:t>The influence of economic efficiency</w:t>
      </w:r>
      <w:r w:rsidRPr="003A3261">
        <w:rPr>
          <w:rStyle w:val="shorttext"/>
          <w:lang w:val="en-GB"/>
        </w:rPr>
        <w:t xml:space="preserve"> - </w:t>
      </w:r>
      <w:r>
        <w:rPr>
          <w:rStyle w:val="shorttext"/>
          <w:lang w:val="en-GB"/>
        </w:rPr>
        <w:t>previous</w:t>
      </w:r>
      <w:r w:rsidRPr="003A3261">
        <w:rPr>
          <w:rStyle w:val="shorttext"/>
          <w:lang w:val="en-GB"/>
        </w:rPr>
        <w:t xml:space="preserve"> </w:t>
      </w:r>
      <w:r>
        <w:rPr>
          <w:rStyle w:val="shorttext"/>
          <w:lang w:val="en-GB"/>
        </w:rPr>
        <w:t>categories</w:t>
      </w:r>
      <w:r w:rsidRPr="003A3261">
        <w:rPr>
          <w:rStyle w:val="shorttext"/>
          <w:lang w:val="en-GB"/>
        </w:rPr>
        <w:t xml:space="preserve"> are based on actual levels of the employed production factors even though the </w:t>
      </w:r>
      <w:r>
        <w:rPr>
          <w:rStyle w:val="shorttext"/>
          <w:lang w:val="en-GB"/>
        </w:rPr>
        <w:t xml:space="preserve">cross-country </w:t>
      </w:r>
      <w:r w:rsidRPr="003A3261">
        <w:rPr>
          <w:rStyle w:val="shorttext"/>
          <w:lang w:val="en-GB"/>
        </w:rPr>
        <w:t>labour productivity and capital efficiency</w:t>
      </w:r>
      <w:r>
        <w:rPr>
          <w:rStyle w:val="shorttext"/>
          <w:lang w:val="en-GB"/>
        </w:rPr>
        <w:t xml:space="preserve"> may</w:t>
      </w:r>
      <w:r w:rsidRPr="003A3261">
        <w:rPr>
          <w:rStyle w:val="shorttext"/>
          <w:lang w:val="en-GB"/>
        </w:rPr>
        <w:t xml:space="preserve"> vary. In order to capture the </w:t>
      </w:r>
      <w:r>
        <w:rPr>
          <w:rStyle w:val="shorttext"/>
          <w:lang w:val="en-GB"/>
        </w:rPr>
        <w:t>distinct</w:t>
      </w:r>
      <w:r w:rsidRPr="003A3261">
        <w:rPr>
          <w:rStyle w:val="shorttext"/>
          <w:lang w:val="en-GB"/>
        </w:rPr>
        <w:t xml:space="preserve"> efficiencies</w:t>
      </w:r>
      <w:r w:rsidRPr="00414CD1">
        <w:rPr>
          <w:rStyle w:val="shorttext"/>
          <w:lang w:val="en-GB"/>
        </w:rPr>
        <w:t xml:space="preserve"> </w:t>
      </w:r>
      <w:r w:rsidRPr="003A3261">
        <w:rPr>
          <w:rStyle w:val="shorttext"/>
          <w:lang w:val="en-GB"/>
        </w:rPr>
        <w:t xml:space="preserve">influence, measured as </w:t>
      </w:r>
      <w:r>
        <w:rPr>
          <w:rStyle w:val="shorttext"/>
          <w:lang w:val="en-GB"/>
        </w:rPr>
        <w:t xml:space="preserve">the </w:t>
      </w:r>
      <w:r w:rsidRPr="003A3261">
        <w:rPr>
          <w:rStyle w:val="shorttext"/>
          <w:lang w:val="en-GB"/>
        </w:rPr>
        <w:t xml:space="preserve">cumulative influence of labour productivity and capital efficiency, </w:t>
      </w:r>
      <w:r>
        <w:rPr>
          <w:rStyle w:val="shorttext"/>
          <w:lang w:val="en-GB"/>
        </w:rPr>
        <w:t xml:space="preserve">the </w:t>
      </w:r>
      <w:r w:rsidRPr="003A3261">
        <w:rPr>
          <w:rStyle w:val="shorttext"/>
          <w:lang w:val="en-GB"/>
        </w:rPr>
        <w:t>authors emplo</w:t>
      </w:r>
      <w:r>
        <w:rPr>
          <w:rStyle w:val="shorttext"/>
          <w:lang w:val="en-GB"/>
        </w:rPr>
        <w:t>y the category of the efficient</w:t>
      </w:r>
      <w:r w:rsidRPr="003A3261">
        <w:rPr>
          <w:rStyle w:val="shorttext"/>
          <w:lang w:val="en-GB"/>
        </w:rPr>
        <w:t xml:space="preserve"> equilibrium </w:t>
      </w:r>
      <m:oMath>
        <m:r>
          <w:rPr>
            <w:rFonts w:ascii="Cambria Math" w:hAnsi="Cambria Math"/>
            <w:lang w:val="en-GB"/>
          </w:rPr>
          <m:t>GDP</m:t>
        </m:r>
      </m:oMath>
      <w:r w:rsidRPr="003A3261">
        <w:rPr>
          <w:lang w:val="en-GB"/>
        </w:rPr>
        <w:t xml:space="preserve">. </w:t>
      </w:r>
      <w:r>
        <w:rPr>
          <w:lang w:val="en-GB"/>
        </w:rPr>
        <w:t xml:space="preserve">For the calculation of the </w:t>
      </w:r>
      <w:r>
        <w:rPr>
          <w:rStyle w:val="shorttext"/>
          <w:lang w:val="en-GB"/>
        </w:rPr>
        <w:t>efficient</w:t>
      </w:r>
      <w:r w:rsidRPr="003A3261">
        <w:rPr>
          <w:rStyle w:val="shorttext"/>
          <w:lang w:val="en-GB"/>
        </w:rPr>
        <w:t xml:space="preserve"> equilibrium </w:t>
      </w:r>
      <m:oMath>
        <m:r>
          <w:rPr>
            <w:rFonts w:ascii="Cambria Math" w:hAnsi="Cambria Math"/>
            <w:lang w:val="en-GB"/>
          </w:rPr>
          <m:t>GDP</m:t>
        </m:r>
      </m:oMath>
      <w:r>
        <w:rPr>
          <w:lang w:val="en-GB"/>
        </w:rPr>
        <w:t xml:space="preserve">, the authors use average consumption of labour per unit of </w:t>
      </w:r>
      <m:oMath>
        <m:r>
          <w:rPr>
            <w:rFonts w:ascii="Cambria Math" w:hAnsi="Cambria Math"/>
            <w:lang w:val="en-GB"/>
          </w:rPr>
          <m:t>GDP</m:t>
        </m:r>
      </m:oMath>
      <w:r>
        <w:rPr>
          <w:lang w:val="en-GB"/>
        </w:rPr>
        <w:t xml:space="preserve"> and average consumption of capital per unit of </w:t>
      </w:r>
      <m:oMath>
        <m:r>
          <w:rPr>
            <w:rFonts w:ascii="Cambria Math" w:hAnsi="Cambria Math"/>
            <w:lang w:val="en-GB"/>
          </w:rPr>
          <m:t>GDP</m:t>
        </m:r>
      </m:oMath>
      <w:r>
        <w:rPr>
          <w:lang w:val="en-GB"/>
        </w:rPr>
        <w:t xml:space="preserve"> for the entire Eurozone. Employment of average values allows for the computation of the country’s </w:t>
      </w:r>
      <w:r>
        <w:rPr>
          <w:rStyle w:val="shorttext"/>
          <w:lang w:val="en-GB"/>
        </w:rPr>
        <w:t>efficient</w:t>
      </w:r>
      <w:r w:rsidRPr="003A3261">
        <w:rPr>
          <w:rStyle w:val="shorttext"/>
          <w:lang w:val="en-GB"/>
        </w:rPr>
        <w:t xml:space="preserve"> equilibrium </w:t>
      </w:r>
      <m:oMath>
        <m:r>
          <w:rPr>
            <w:rFonts w:ascii="Cambria Math" w:hAnsi="Cambria Math"/>
            <w:lang w:val="en-GB"/>
          </w:rPr>
          <m:t>GDP</m:t>
        </m:r>
      </m:oMath>
      <w:r>
        <w:rPr>
          <w:lang w:val="en-GB"/>
        </w:rPr>
        <w:t xml:space="preserve"> received by considering actual wage and profit rates and average consumption of labour and capital per unit of </w:t>
      </w:r>
      <m:oMath>
        <m:r>
          <w:rPr>
            <w:rFonts w:ascii="Cambria Math" w:hAnsi="Cambria Math"/>
            <w:lang w:val="en-GB"/>
          </w:rPr>
          <m:t>GDP</m:t>
        </m:r>
      </m:oMath>
      <w:r>
        <w:rPr>
          <w:lang w:val="en-GB"/>
        </w:rPr>
        <w:t xml:space="preserve">. It must be noted that the </w:t>
      </w:r>
      <m:oMath>
        <m:sSub>
          <m:sSubPr>
            <m:ctrlPr>
              <w:rPr>
                <w:rFonts w:ascii="Cambria Math" w:hAnsi="Cambria Math"/>
                <w:i/>
                <w:lang w:val="en-GB"/>
              </w:rPr>
            </m:ctrlPr>
          </m:sSubPr>
          <m:e>
            <m:r>
              <w:rPr>
                <w:rFonts w:ascii="Cambria Math" w:hAnsi="Cambria Math"/>
                <w:lang w:val="en-GB"/>
              </w:rPr>
              <m:t>GDP</m:t>
            </m:r>
          </m:e>
          <m:sub>
            <m:r>
              <w:rPr>
                <w:rFonts w:ascii="Cambria Math" w:hAnsi="Cambria Math"/>
                <w:lang w:val="en-GB"/>
              </w:rPr>
              <m:t>u</m:t>
            </m:r>
          </m:sub>
        </m:sSub>
      </m:oMath>
      <w:r>
        <w:rPr>
          <w:lang w:val="en-GB"/>
        </w:rPr>
        <w:t xml:space="preserve"> computation omitted the market price differences occurring between countries.</w:t>
      </w:r>
      <w:r w:rsidRPr="003A3261">
        <w:rPr>
          <w:color w:val="000000" w:themeColor="text1"/>
          <w:lang w:val="en-GB"/>
        </w:rPr>
        <w:t xml:space="preserve"> Additionally, </w:t>
      </w:r>
      <w:r>
        <w:rPr>
          <w:color w:val="000000" w:themeColor="text1"/>
          <w:lang w:val="en-GB"/>
        </w:rPr>
        <w:t xml:space="preserve">through the </w:t>
      </w:r>
      <w:r w:rsidRPr="003A3261">
        <w:rPr>
          <w:color w:val="000000" w:themeColor="text1"/>
          <w:lang w:val="en-GB"/>
        </w:rPr>
        <w:t xml:space="preserve">acknowledgment of </w:t>
      </w:r>
      <w:r>
        <w:rPr>
          <w:color w:val="000000" w:themeColor="text1"/>
          <w:lang w:val="en-GB"/>
        </w:rPr>
        <w:t xml:space="preserve">the efficiency </w:t>
      </w:r>
      <w:r w:rsidRPr="003A3261">
        <w:rPr>
          <w:color w:val="000000" w:themeColor="text1"/>
          <w:lang w:val="en-GB"/>
        </w:rPr>
        <w:t>influence</w:t>
      </w:r>
      <w:r>
        <w:rPr>
          <w:color w:val="000000" w:themeColor="text1"/>
          <w:lang w:val="en-GB"/>
        </w:rPr>
        <w:t>, the</w:t>
      </w:r>
      <w:r w:rsidRPr="003A3261">
        <w:rPr>
          <w:color w:val="000000" w:themeColor="text1"/>
          <w:lang w:val="en-GB"/>
        </w:rPr>
        <w:t xml:space="preserve"> authors eliminate</w:t>
      </w:r>
      <w:r>
        <w:rPr>
          <w:color w:val="000000" w:themeColor="text1"/>
          <w:lang w:val="en-GB"/>
        </w:rPr>
        <w:t>d</w:t>
      </w:r>
      <w:r w:rsidRPr="003A3261">
        <w:rPr>
          <w:color w:val="000000" w:themeColor="text1"/>
          <w:lang w:val="en-GB"/>
        </w:rPr>
        <w:t xml:space="preserve"> the influence of </w:t>
      </w:r>
      <w:r w:rsidRPr="003A3261">
        <w:rPr>
          <w:lang w:val="en-GB"/>
        </w:rPr>
        <w:t>capital-labour ratios</w:t>
      </w:r>
      <w:r>
        <w:rPr>
          <w:color w:val="000000" w:themeColor="text1"/>
          <w:lang w:val="en-GB"/>
        </w:rPr>
        <w:t>. Finally, t</w:t>
      </w:r>
      <w:r w:rsidRPr="003A3261">
        <w:rPr>
          <w:color w:val="000000" w:themeColor="text1"/>
          <w:lang w:val="en-GB"/>
        </w:rPr>
        <w:t xml:space="preserve">he difference between </w:t>
      </w:r>
      <w:r>
        <w:rPr>
          <w:color w:val="000000" w:themeColor="text1"/>
          <w:lang w:val="en-GB"/>
        </w:rPr>
        <w:t xml:space="preserve">the </w:t>
      </w:r>
      <w:r>
        <w:rPr>
          <w:rStyle w:val="shorttext"/>
          <w:lang w:val="en-GB"/>
        </w:rPr>
        <w:t>equilibrium</w:t>
      </w:r>
      <w:r w:rsidRPr="003A3261">
        <w:rPr>
          <w:rStyle w:val="shorttext"/>
          <w:lang w:val="en-GB"/>
        </w:rPr>
        <w:t xml:space="preserve"> </w:t>
      </w:r>
      <m:oMath>
        <m:r>
          <w:rPr>
            <w:rFonts w:ascii="Cambria Math" w:hAnsi="Cambria Math"/>
            <w:lang w:val="en-GB"/>
          </w:rPr>
          <m:t>GDP</m:t>
        </m:r>
      </m:oMath>
      <w:r>
        <w:rPr>
          <w:lang w:val="en-GB"/>
        </w:rPr>
        <w:t xml:space="preserve"> </w:t>
      </w:r>
      <w:r w:rsidRPr="003A3261">
        <w:rPr>
          <w:lang w:val="en-GB"/>
        </w:rPr>
        <w:t>and</w:t>
      </w:r>
      <w:r>
        <w:rPr>
          <w:lang w:val="en-GB"/>
        </w:rPr>
        <w:t xml:space="preserve"> the</w:t>
      </w:r>
      <w:r w:rsidRPr="003A3261">
        <w:rPr>
          <w:lang w:val="en-GB"/>
        </w:rPr>
        <w:t xml:space="preserve"> </w:t>
      </w:r>
      <w:r>
        <w:rPr>
          <w:rStyle w:val="shorttext"/>
          <w:lang w:val="en-GB"/>
        </w:rPr>
        <w:t>efficient</w:t>
      </w:r>
      <w:r w:rsidRPr="003A3261">
        <w:rPr>
          <w:rStyle w:val="shorttext"/>
          <w:lang w:val="en-GB"/>
        </w:rPr>
        <w:t xml:space="preserve"> equilibrium </w:t>
      </w:r>
      <m:oMath>
        <m:r>
          <w:rPr>
            <w:rFonts w:ascii="Cambria Math" w:hAnsi="Cambria Math"/>
            <w:lang w:val="en-GB"/>
          </w:rPr>
          <m:t>GDP</m:t>
        </m:r>
      </m:oMath>
      <w:r>
        <w:rPr>
          <w:lang w:val="en-GB"/>
        </w:rPr>
        <w:t xml:space="preserve"> identifies</w:t>
      </w:r>
      <w:r w:rsidRPr="003A3261">
        <w:rPr>
          <w:lang w:val="en-GB"/>
        </w:rPr>
        <w:t xml:space="preserve"> countries</w:t>
      </w:r>
      <w:r>
        <w:rPr>
          <w:lang w:val="en-GB"/>
        </w:rPr>
        <w:t>’</w:t>
      </w:r>
      <w:r w:rsidRPr="003A3261">
        <w:rPr>
          <w:lang w:val="en-GB"/>
        </w:rPr>
        <w:t xml:space="preserve"> position</w:t>
      </w:r>
      <w:r>
        <w:rPr>
          <w:lang w:val="en-GB"/>
        </w:rPr>
        <w:t>s</w:t>
      </w:r>
      <w:r w:rsidRPr="003A3261">
        <w:rPr>
          <w:lang w:val="en-GB"/>
        </w:rPr>
        <w:t xml:space="preserve"> regarding efficiency</w:t>
      </w:r>
      <w:r w:rsidRPr="009B323B">
        <w:rPr>
          <w:lang w:val="en-GB"/>
        </w:rPr>
        <w:t xml:space="preserve"> </w:t>
      </w:r>
      <w:r w:rsidRPr="003A3261">
        <w:rPr>
          <w:lang w:val="en-GB"/>
        </w:rPr>
        <w:t>level</w:t>
      </w:r>
      <w:r>
        <w:rPr>
          <w:lang w:val="en-GB"/>
        </w:rPr>
        <w:t>s</w:t>
      </w:r>
      <w:r w:rsidRPr="003A3261">
        <w:rPr>
          <w:lang w:val="en-GB"/>
        </w:rPr>
        <w:t>.</w:t>
      </w:r>
    </w:p>
    <w:p w14:paraId="0CCE0063" w14:textId="77777777" w:rsidR="00186CE3" w:rsidRPr="003A3261" w:rsidRDefault="00186CE3" w:rsidP="00186CE3">
      <w:pPr>
        <w:widowControl w:val="0"/>
        <w:jc w:val="both"/>
        <w:rPr>
          <w:color w:val="000000" w:themeColor="text1"/>
          <w:lang w:val="en-GB"/>
        </w:rPr>
      </w:pPr>
    </w:p>
    <w:p w14:paraId="55F17D4D" w14:textId="77777777" w:rsidR="00186CE3" w:rsidRDefault="00186CE3" w:rsidP="00186CE3">
      <w:pPr>
        <w:widowControl w:val="0"/>
        <w:jc w:val="both"/>
        <w:rPr>
          <w:rStyle w:val="shorttext"/>
          <w:lang w:val="en-GB"/>
        </w:rPr>
      </w:pPr>
      <w:r w:rsidRPr="002B0883">
        <w:rPr>
          <w:rStyle w:val="shorttext"/>
          <w:b/>
          <w:lang w:val="en-GB"/>
        </w:rPr>
        <w:lastRenderedPageBreak/>
        <w:t>The formation of the wage and profit rates</w:t>
      </w:r>
      <w:r w:rsidRPr="002B0883">
        <w:rPr>
          <w:rStyle w:val="shorttext"/>
          <w:lang w:val="en-GB"/>
        </w:rPr>
        <w:t xml:space="preserve"> – the equilibrium prices are calculated by</w:t>
      </w:r>
      <w:r w:rsidRPr="003A3261">
        <w:rPr>
          <w:rStyle w:val="shorttext"/>
          <w:lang w:val="en-GB"/>
        </w:rPr>
        <w:t xml:space="preserve"> using equilibrium wage </w:t>
      </w:r>
      <w:r>
        <w:rPr>
          <w:rStyle w:val="shorttext"/>
          <w:lang w:val="en-GB"/>
        </w:rPr>
        <w:t xml:space="preserve">and </w:t>
      </w:r>
      <w:r w:rsidRPr="003A3261">
        <w:rPr>
          <w:rStyle w:val="shorttext"/>
          <w:lang w:val="en-GB"/>
        </w:rPr>
        <w:t>profit rate</w:t>
      </w:r>
      <w:r>
        <w:rPr>
          <w:rStyle w:val="shorttext"/>
          <w:lang w:val="en-GB"/>
        </w:rPr>
        <w:t>s</w:t>
      </w:r>
      <w:r w:rsidRPr="003A3261">
        <w:rPr>
          <w:rStyle w:val="shorttext"/>
          <w:lang w:val="en-GB"/>
        </w:rPr>
        <w:t xml:space="preserve">. </w:t>
      </w:r>
      <w:r>
        <w:rPr>
          <w:rStyle w:val="shorttext"/>
          <w:lang w:val="en-GB"/>
        </w:rPr>
        <w:t>A c</w:t>
      </w:r>
      <w:r w:rsidRPr="003A3261">
        <w:rPr>
          <w:rStyle w:val="shorttext"/>
          <w:lang w:val="en-GB"/>
        </w:rPr>
        <w:t>ountry experience</w:t>
      </w:r>
      <w:r>
        <w:rPr>
          <w:rStyle w:val="shorttext"/>
          <w:lang w:val="en-GB"/>
        </w:rPr>
        <w:t>s</w:t>
      </w:r>
      <w:r w:rsidRPr="003A3261">
        <w:rPr>
          <w:rStyle w:val="shorttext"/>
          <w:lang w:val="en-GB"/>
        </w:rPr>
        <w:t xml:space="preserve"> above equilibrium wage rates if </w:t>
      </w:r>
      <w:r>
        <w:rPr>
          <w:rStyle w:val="shorttext"/>
          <w:lang w:val="en-GB"/>
        </w:rPr>
        <w:t>their</w:t>
      </w:r>
      <w:r w:rsidRPr="003A3261">
        <w:rPr>
          <w:rStyle w:val="shorttext"/>
          <w:lang w:val="en-GB"/>
        </w:rPr>
        <w:t xml:space="preserve"> commodities and servic</w:t>
      </w:r>
      <w:r>
        <w:rPr>
          <w:rStyle w:val="shorttext"/>
          <w:lang w:val="en-GB"/>
        </w:rPr>
        <w:t>es reach</w:t>
      </w:r>
      <w:r w:rsidRPr="003A3261">
        <w:rPr>
          <w:rStyle w:val="shorttext"/>
          <w:lang w:val="en-GB"/>
        </w:rPr>
        <w:t xml:space="preserve"> prices exceed</w:t>
      </w:r>
      <w:r>
        <w:rPr>
          <w:rStyle w:val="shorttext"/>
          <w:lang w:val="en-GB"/>
        </w:rPr>
        <w:t>ing</w:t>
      </w:r>
      <w:r w:rsidRPr="003A3261">
        <w:rPr>
          <w:rStyle w:val="shorttext"/>
          <w:lang w:val="en-GB"/>
        </w:rPr>
        <w:t xml:space="preserve"> the equilibrium. For such </w:t>
      </w:r>
      <w:r>
        <w:rPr>
          <w:rStyle w:val="shorttext"/>
          <w:lang w:val="en-GB"/>
        </w:rPr>
        <w:t xml:space="preserve">a </w:t>
      </w:r>
      <w:r w:rsidRPr="003A3261">
        <w:rPr>
          <w:rStyle w:val="shorttext"/>
          <w:lang w:val="en-GB"/>
        </w:rPr>
        <w:t>country</w:t>
      </w:r>
      <w:r>
        <w:rPr>
          <w:rStyle w:val="shorttext"/>
          <w:lang w:val="en-GB"/>
        </w:rPr>
        <w:t>,</w:t>
      </w:r>
      <w:r w:rsidRPr="003A3261">
        <w:rPr>
          <w:rStyle w:val="shorttext"/>
          <w:lang w:val="en-GB"/>
        </w:rPr>
        <w:t xml:space="preserve"> </w:t>
      </w:r>
      <w:r>
        <w:rPr>
          <w:rStyle w:val="shorttext"/>
          <w:lang w:val="en-GB"/>
        </w:rPr>
        <w:t>the actual</w:t>
      </w:r>
      <w:r w:rsidRPr="003A3261">
        <w:rPr>
          <w:rStyle w:val="shorttext"/>
          <w:lang w:val="en-GB"/>
        </w:rPr>
        <w:t xml:space="preserve"> </w:t>
      </w:r>
      <m:oMath>
        <m:r>
          <w:rPr>
            <w:rFonts w:ascii="Cambria Math" w:hAnsi="Cambria Math"/>
            <w:lang w:val="en-GB"/>
          </w:rPr>
          <m:t>GDP</m:t>
        </m:r>
      </m:oMath>
      <w:r w:rsidRPr="003A3261">
        <w:rPr>
          <w:lang w:val="en-GB"/>
        </w:rPr>
        <w:t xml:space="preserve"> </w:t>
      </w:r>
      <w:r>
        <w:rPr>
          <w:lang w:val="en-GB"/>
        </w:rPr>
        <w:t>must</w:t>
      </w:r>
      <w:r w:rsidRPr="003A3261">
        <w:rPr>
          <w:lang w:val="en-GB"/>
        </w:rPr>
        <w:t xml:space="preserve"> </w:t>
      </w:r>
      <w:r>
        <w:rPr>
          <w:lang w:val="en-GB"/>
        </w:rPr>
        <w:t>surpass</w:t>
      </w:r>
      <w:r w:rsidRPr="003A3261">
        <w:rPr>
          <w:lang w:val="en-GB"/>
        </w:rPr>
        <w:t xml:space="preserve"> the </w:t>
      </w:r>
      <w:r>
        <w:rPr>
          <w:rStyle w:val="shorttext"/>
          <w:lang w:val="en-GB"/>
        </w:rPr>
        <w:t>equilibrium</w:t>
      </w:r>
      <w:r w:rsidRPr="003A3261">
        <w:rPr>
          <w:rStyle w:val="shorttext"/>
          <w:lang w:val="en-GB"/>
        </w:rPr>
        <w:t xml:space="preserve"> </w:t>
      </w:r>
      <m:oMath>
        <m:r>
          <w:rPr>
            <w:rFonts w:ascii="Cambria Math" w:hAnsi="Cambria Math"/>
            <w:lang w:val="en-GB"/>
          </w:rPr>
          <m:t>GDP</m:t>
        </m:r>
      </m:oMath>
      <w:r w:rsidRPr="003A3261">
        <w:rPr>
          <w:lang w:val="en-GB"/>
        </w:rPr>
        <w:t xml:space="preserve"> since </w:t>
      </w:r>
      <w:r>
        <w:rPr>
          <w:lang w:val="en-GB"/>
        </w:rPr>
        <w:t>this</w:t>
      </w:r>
      <w:r w:rsidRPr="003A3261">
        <w:rPr>
          <w:lang w:val="en-GB"/>
        </w:rPr>
        <w:t xml:space="preserve"> positive difference is </w:t>
      </w:r>
      <w:r>
        <w:rPr>
          <w:lang w:val="en-GB"/>
        </w:rPr>
        <w:t>a</w:t>
      </w:r>
      <w:r w:rsidRPr="003A3261">
        <w:rPr>
          <w:lang w:val="en-GB"/>
        </w:rPr>
        <w:t xml:space="preserve"> source for financing</w:t>
      </w:r>
      <w:r>
        <w:rPr>
          <w:lang w:val="en-GB"/>
        </w:rPr>
        <w:t xml:space="preserve"> the</w:t>
      </w:r>
      <w:r w:rsidRPr="003A3261">
        <w:rPr>
          <w:lang w:val="en-GB"/>
        </w:rPr>
        <w:t xml:space="preserve"> </w:t>
      </w:r>
      <w:r w:rsidRPr="003A3261">
        <w:rPr>
          <w:rStyle w:val="shorttext"/>
          <w:lang w:val="en-GB"/>
        </w:rPr>
        <w:t xml:space="preserve">above equilibrium wage rates. The same motion holds </w:t>
      </w:r>
      <w:r>
        <w:rPr>
          <w:rStyle w:val="shorttext"/>
          <w:lang w:val="en-GB"/>
        </w:rPr>
        <w:t>for</w:t>
      </w:r>
      <w:r w:rsidRPr="003A3261">
        <w:rPr>
          <w:rStyle w:val="shorttext"/>
          <w:lang w:val="en-GB"/>
        </w:rPr>
        <w:t xml:space="preserve"> above equilibrium profit rates. </w:t>
      </w:r>
      <w:r>
        <w:rPr>
          <w:rStyle w:val="shorttext"/>
          <w:lang w:val="en-GB"/>
        </w:rPr>
        <w:t>Conversely</w:t>
      </w:r>
      <w:r w:rsidRPr="003A3261">
        <w:rPr>
          <w:rStyle w:val="shorttext"/>
          <w:lang w:val="en-GB"/>
        </w:rPr>
        <w:t>, if the country’s difference</w:t>
      </w:r>
      <w:r>
        <w:rPr>
          <w:rStyle w:val="shorttext"/>
          <w:lang w:val="en-GB"/>
        </w:rPr>
        <w:t xml:space="preserve"> </w:t>
      </w:r>
      <w:r w:rsidRPr="003A3261">
        <w:rPr>
          <w:lang w:val="en-GB"/>
        </w:rPr>
        <w:t xml:space="preserve">is negative, because of below equilibrium prices, the country cannot </w:t>
      </w:r>
      <w:r>
        <w:rPr>
          <w:lang w:val="en-GB"/>
        </w:rPr>
        <w:t>obtain the equilibrium rates</w:t>
      </w:r>
      <w:r w:rsidRPr="003A3261">
        <w:rPr>
          <w:lang w:val="en-GB"/>
        </w:rPr>
        <w:t xml:space="preserve">. </w:t>
      </w:r>
      <w:r>
        <w:rPr>
          <w:lang w:val="en-GB"/>
        </w:rPr>
        <w:t>Accordingly</w:t>
      </w:r>
      <w:r w:rsidRPr="003A3261">
        <w:rPr>
          <w:lang w:val="en-GB"/>
        </w:rPr>
        <w:t>, thi</w:t>
      </w:r>
      <w:r>
        <w:rPr>
          <w:lang w:val="en-GB"/>
        </w:rPr>
        <w:t>s</w:t>
      </w:r>
      <w:r w:rsidRPr="003A3261">
        <w:rPr>
          <w:lang w:val="en-GB"/>
        </w:rPr>
        <w:t xml:space="preserve"> difference </w:t>
      </w:r>
      <w:r>
        <w:rPr>
          <w:lang w:val="en-GB"/>
        </w:rPr>
        <w:t>externalizes through lower wage rates,</w:t>
      </w:r>
      <w:r w:rsidRPr="003A3261">
        <w:rPr>
          <w:lang w:val="en-GB"/>
        </w:rPr>
        <w:t xml:space="preserve"> lower profit rates, or in the worst case,</w:t>
      </w:r>
      <w:r>
        <w:rPr>
          <w:lang w:val="en-GB"/>
        </w:rPr>
        <w:t xml:space="preserve"> </w:t>
      </w:r>
      <w:r w:rsidRPr="003A3261">
        <w:rPr>
          <w:lang w:val="en-GB"/>
        </w:rPr>
        <w:t>both.</w:t>
      </w:r>
    </w:p>
    <w:p w14:paraId="2C60DAAD" w14:textId="77777777" w:rsidR="00186CE3" w:rsidRDefault="00186CE3" w:rsidP="00186CE3">
      <w:pPr>
        <w:widowControl w:val="0"/>
        <w:jc w:val="both"/>
        <w:rPr>
          <w:rStyle w:val="shorttext"/>
          <w:lang w:val="en-GB"/>
        </w:rPr>
      </w:pPr>
    </w:p>
    <w:p w14:paraId="1AB1E150" w14:textId="77777777" w:rsidR="00186CE3" w:rsidRDefault="00186CE3" w:rsidP="00186CE3">
      <w:pPr>
        <w:widowControl w:val="0"/>
        <w:jc w:val="both"/>
        <w:rPr>
          <w:lang w:val="en-GB"/>
        </w:rPr>
      </w:pPr>
      <w:r>
        <w:rPr>
          <w:rStyle w:val="shorttext"/>
          <w:b/>
          <w:lang w:val="en-GB"/>
        </w:rPr>
        <w:t>The</w:t>
      </w:r>
      <w:r w:rsidRPr="00604DD5">
        <w:rPr>
          <w:rStyle w:val="shorttext"/>
          <w:b/>
          <w:lang w:val="en-GB"/>
        </w:rPr>
        <w:t xml:space="preserve"> </w:t>
      </w:r>
      <w:r>
        <w:rPr>
          <w:rStyle w:val="shorttext"/>
          <w:b/>
          <w:lang w:val="en-GB"/>
        </w:rPr>
        <w:t xml:space="preserve">labour force </w:t>
      </w:r>
      <w:r w:rsidRPr="00604DD5">
        <w:rPr>
          <w:rStyle w:val="shorttext"/>
          <w:b/>
          <w:lang w:val="en-GB"/>
        </w:rPr>
        <w:t>exploitation</w:t>
      </w:r>
      <w:r>
        <w:rPr>
          <w:rStyle w:val="shorttext"/>
          <w:lang w:val="en-GB"/>
        </w:rPr>
        <w:t xml:space="preserve"> – if the aggregate Eurozone’s </w:t>
      </w:r>
      <m:oMath>
        <m:r>
          <w:rPr>
            <w:rFonts w:ascii="Cambria Math" w:hAnsi="Cambria Math"/>
            <w:lang w:val="en-GB"/>
          </w:rPr>
          <m:t>GDP</m:t>
        </m:r>
      </m:oMath>
      <w:r>
        <w:rPr>
          <w:lang w:val="en-GB"/>
        </w:rPr>
        <w:t xml:space="preserve"> is distributed in accordance with the used labour, the individual countries’ </w:t>
      </w:r>
      <m:oMath>
        <m:r>
          <w:rPr>
            <w:rFonts w:ascii="Cambria Math" w:hAnsi="Cambria Math"/>
            <w:lang w:val="en-GB"/>
          </w:rPr>
          <m:t>GDP</m:t>
        </m:r>
      </m:oMath>
      <w:r>
        <w:rPr>
          <w:lang w:val="en-GB"/>
        </w:rPr>
        <w:t xml:space="preserve"> equates to the labour consumed within the production. The latter represents the price expression of the consumed labour that yields the monetary expression of the new value created (</w:t>
      </w:r>
      <w:r>
        <w:t xml:space="preserve">Marx, </w:t>
      </w:r>
      <w:r>
        <w:rPr>
          <w:color w:val="000000" w:themeColor="text1"/>
        </w:rPr>
        <w:t>1992a</w:t>
      </w:r>
      <w:r>
        <w:rPr>
          <w:lang w:val="en-GB"/>
        </w:rPr>
        <w:t xml:space="preserve">). On this basis, the new value created can be compared with the total labour income (wages and public sector). The labour income share of the new value created is a source of two indicators. First, it points out how much of the countries’ consumed labour is being used for the production of labour incomes. Second, it is an indicator of how much of the countries’ used labour is appropriated by the capital, in the form of profit. According to </w:t>
      </w:r>
      <w:proofErr w:type="spellStart"/>
      <w:r w:rsidRPr="00B643BF">
        <w:t>Morishima</w:t>
      </w:r>
      <w:proofErr w:type="spellEnd"/>
      <w:r w:rsidRPr="00B643BF">
        <w:t xml:space="preserve"> (1973: 51</w:t>
      </w:r>
      <w:r>
        <w:t>)</w:t>
      </w:r>
      <w:r>
        <w:rPr>
          <w:lang w:val="en-GB"/>
        </w:rPr>
        <w:t>, the ratio between the labour time used for the production of the profits and the labour time used for the production of labour incomes is the exploitation rate (</w:t>
      </w:r>
      <m:oMath>
        <m:r>
          <w:rPr>
            <w:rFonts w:ascii="Cambria Math" w:hAnsi="Cambria Math"/>
            <w:lang w:val="en-GB"/>
          </w:rPr>
          <m:t>e</m:t>
        </m:r>
      </m:oMath>
      <w:r>
        <w:rPr>
          <w:lang w:val="en-GB"/>
        </w:rPr>
        <w:t>). Formally,</w:t>
      </w:r>
    </w:p>
    <w:p w14:paraId="351D71F6" w14:textId="77777777" w:rsidR="00186CE3" w:rsidRDefault="00186CE3" w:rsidP="00186CE3">
      <w:pPr>
        <w:widowControl w:val="0"/>
        <w:jc w:val="both"/>
        <w:rPr>
          <w:lang w:val="en-GB"/>
        </w:rPr>
      </w:pPr>
    </w:p>
    <w:p w14:paraId="45A9B12D" w14:textId="77777777" w:rsidR="00186CE3" w:rsidRPr="00B643BF" w:rsidRDefault="00186CE3" w:rsidP="00186CE3">
      <w:pPr>
        <w:jc w:val="right"/>
      </w:pPr>
      <m:oMath>
        <m:r>
          <m:rPr>
            <m:sty m:val="p"/>
          </m:rPr>
          <w:rPr>
            <w:rFonts w:ascii="Cambria Math" w:hAnsi="Cambria Math"/>
          </w:rPr>
          <m:t>e</m:t>
        </m:r>
        <m:r>
          <w:rPr>
            <w:rFonts w:ascii="Cambria Math" w:hAnsi="Cambria Math"/>
          </w:rPr>
          <m:t>=</m:t>
        </m:r>
        <m:f>
          <m:fPr>
            <m:ctrlPr>
              <w:rPr>
                <w:rFonts w:ascii="Cambria Math" w:hAnsi="Cambria Math"/>
                <w:i/>
              </w:rPr>
            </m:ctrlPr>
          </m:fPr>
          <m:num>
            <m:r>
              <m:rPr>
                <m:sty m:val="p"/>
              </m:rPr>
              <w:rPr>
                <w:rFonts w:ascii="Cambria Math" w:hAnsi="Cambria Math"/>
              </w:rPr>
              <m:t>Surplus value</m:t>
            </m:r>
          </m:num>
          <m:den>
            <m:r>
              <m:rPr>
                <m:sty m:val="p"/>
              </m:rPr>
              <w:rPr>
                <w:rFonts w:ascii="Cambria Math" w:hAnsi="Cambria Math"/>
              </w:rPr>
              <m:t>Value of labour power</m:t>
            </m:r>
          </m:den>
        </m:f>
        <m:r>
          <m:rPr>
            <m:sty m:val="p"/>
          </m:rPr>
          <w:rPr>
            <w:rFonts w:ascii="Cambria Math" w:hAnsi="Cambria Math"/>
          </w:rPr>
          <m:t>=</m:t>
        </m:r>
        <m:f>
          <m:fPr>
            <m:ctrlPr>
              <w:rPr>
                <w:rFonts w:ascii="Cambria Math" w:hAnsi="Cambria Math"/>
              </w:rPr>
            </m:ctrlPr>
          </m:fPr>
          <m:num>
            <m:r>
              <m:rPr>
                <m:sty m:val="p"/>
              </m:rPr>
              <w:rPr>
                <w:rFonts w:ascii="Cambria Math" w:hAnsi="Cambria Math"/>
              </w:rPr>
              <m:t>Surplus labor</m:t>
            </m:r>
          </m:num>
          <m:den>
            <m:r>
              <m:rPr>
                <m:sty m:val="p"/>
              </m:rPr>
              <w:rPr>
                <w:rFonts w:ascii="Cambria Math" w:hAnsi="Cambria Math"/>
              </w:rPr>
              <m:t>Necessary labor</m:t>
            </m:r>
          </m:den>
        </m:f>
        <m:r>
          <w:rPr>
            <w:rFonts w:ascii="Cambria Math" w:hAnsi="Cambria Math"/>
          </w:rPr>
          <m:t>=</m:t>
        </m:r>
        <m:f>
          <m:fPr>
            <m:ctrlPr>
              <w:rPr>
                <w:rFonts w:ascii="Cambria Math" w:hAnsi="Cambria Math"/>
              </w:rPr>
            </m:ctrlPr>
          </m:fPr>
          <m:num>
            <m:r>
              <m:rPr>
                <m:sty m:val="p"/>
              </m:rPr>
              <w:rPr>
                <w:rFonts w:ascii="Cambria Math" w:hAnsi="Cambria Math"/>
              </w:rPr>
              <m:t>Unpaid labor</m:t>
            </m:r>
          </m:num>
          <m:den>
            <m:r>
              <m:rPr>
                <m:sty m:val="p"/>
              </m:rPr>
              <w:rPr>
                <w:rFonts w:ascii="Cambria Math" w:hAnsi="Cambria Math"/>
              </w:rPr>
              <m:t>Paid labor</m:t>
            </m:r>
          </m:den>
        </m:f>
      </m:oMath>
      <w:r>
        <w:t xml:space="preserve">                           (1)</w:t>
      </w:r>
    </w:p>
    <w:p w14:paraId="19FED7C7" w14:textId="77777777" w:rsidR="00186CE3" w:rsidRDefault="00186CE3" w:rsidP="00186CE3">
      <w:pPr>
        <w:widowControl w:val="0"/>
        <w:jc w:val="both"/>
      </w:pPr>
    </w:p>
    <w:p w14:paraId="60A8AB42" w14:textId="77777777" w:rsidR="00186CE3" w:rsidRDefault="00186CE3" w:rsidP="00186CE3">
      <w:pPr>
        <w:widowControl w:val="0"/>
        <w:jc w:val="both"/>
        <w:rPr>
          <w:lang w:val="en-GB"/>
        </w:rPr>
      </w:pPr>
      <w:r>
        <w:rPr>
          <w:lang w:val="en-GB"/>
        </w:rPr>
        <w:t>The higher this ratio is, the more time workers spend producing profit appropriated on the basis of the capital ownership.</w:t>
      </w:r>
    </w:p>
    <w:p w14:paraId="41BEE522" w14:textId="77777777" w:rsidR="00186CE3" w:rsidRDefault="00186CE3" w:rsidP="00186CE3">
      <w:pPr>
        <w:jc w:val="both"/>
        <w:rPr>
          <w:lang w:val="en-GB"/>
        </w:rPr>
      </w:pPr>
    </w:p>
    <w:p w14:paraId="5369213E" w14:textId="77777777" w:rsidR="00186CE3" w:rsidRPr="00843F00" w:rsidRDefault="00186CE3" w:rsidP="00186CE3">
      <w:pPr>
        <w:pStyle w:val="ListParagraph"/>
        <w:numPr>
          <w:ilvl w:val="0"/>
          <w:numId w:val="13"/>
        </w:numPr>
        <w:rPr>
          <w:b/>
          <w:lang w:val="en-GB"/>
        </w:rPr>
      </w:pPr>
      <w:r w:rsidRPr="00843F00">
        <w:rPr>
          <w:b/>
          <w:lang w:val="en-GB"/>
        </w:rPr>
        <w:t>Methodological Considerations and Data Issues</w:t>
      </w:r>
    </w:p>
    <w:p w14:paraId="032D23D7" w14:textId="77777777" w:rsidR="00186CE3" w:rsidRPr="006833C4" w:rsidRDefault="00186CE3" w:rsidP="00186CE3">
      <w:pPr>
        <w:rPr>
          <w:lang w:val="en-GB"/>
        </w:rPr>
      </w:pPr>
    </w:p>
    <w:p w14:paraId="125C0E4A" w14:textId="60A5F8E8" w:rsidR="00186CE3" w:rsidRDefault="00186CE3" w:rsidP="00E977A9">
      <w:pPr>
        <w:jc w:val="both"/>
        <w:rPr>
          <w:lang w:val="en-GB"/>
        </w:rPr>
      </w:pPr>
      <w:r w:rsidRPr="006833C4">
        <w:rPr>
          <w:lang w:val="en-GB"/>
        </w:rPr>
        <w:t>In a quantitative analysis, the authors measure variation in sectoral and technological compositions of national economies in an attempt to demonstrate that they are at the root cause of international value transfers</w:t>
      </w:r>
      <w:r>
        <w:rPr>
          <w:lang w:val="en-GB"/>
        </w:rPr>
        <w:t>,</w:t>
      </w:r>
      <w:r w:rsidRPr="006833C4">
        <w:rPr>
          <w:lang w:val="en-GB"/>
        </w:rPr>
        <w:t xml:space="preserve"> and extending </w:t>
      </w:r>
      <w:r w:rsidRPr="00AA75E7">
        <w:rPr>
          <w:color w:val="000000" w:themeColor="text1"/>
          <w:lang w:val="en-GB"/>
        </w:rPr>
        <w:t xml:space="preserve">upon </w:t>
      </w:r>
      <w:r w:rsidRPr="006833C4">
        <w:rPr>
          <w:lang w:val="en-GB"/>
        </w:rPr>
        <w:t xml:space="preserve">this point, are the determinants of the cross-country economic inequality. </w:t>
      </w:r>
      <w:r w:rsidR="004A0437">
        <w:rPr>
          <w:lang w:val="en-GB"/>
        </w:rPr>
        <w:t xml:space="preserve">The impact of the sectoral and technological structure on the cross-country economic inequality is empirically analysed based on the data of the </w:t>
      </w:r>
      <w:r w:rsidR="004A0437" w:rsidRPr="006833C4">
        <w:rPr>
          <w:lang w:val="en-GB"/>
        </w:rPr>
        <w:t>Eurozone countries</w:t>
      </w:r>
      <w:r w:rsidR="004A0437">
        <w:rPr>
          <w:lang w:val="en-GB"/>
        </w:rPr>
        <w:t>,</w:t>
      </w:r>
      <w:r w:rsidR="004A0437" w:rsidRPr="006833C4">
        <w:rPr>
          <w:lang w:val="en-GB"/>
        </w:rPr>
        <w:t xml:space="preserve"> apart from Luxembourg (excluded due to the data insufficiency), </w:t>
      </w:r>
      <w:r w:rsidR="004A0437">
        <w:rPr>
          <w:lang w:val="en-GB"/>
        </w:rPr>
        <w:t>for the</w:t>
      </w:r>
      <w:r w:rsidR="004A0437" w:rsidRPr="006833C4">
        <w:rPr>
          <w:lang w:val="en-GB"/>
        </w:rPr>
        <w:t xml:space="preserve"> 2003-2016</w:t>
      </w:r>
      <w:r w:rsidR="004A0437">
        <w:rPr>
          <w:lang w:val="en-GB"/>
        </w:rPr>
        <w:t xml:space="preserve"> period</w:t>
      </w:r>
      <w:r w:rsidR="004A0437" w:rsidRPr="006833C4">
        <w:rPr>
          <w:lang w:val="en-GB"/>
        </w:rPr>
        <w:t>.</w:t>
      </w:r>
    </w:p>
    <w:p w14:paraId="5A4AB944" w14:textId="77777777" w:rsidR="00E977A9" w:rsidRPr="006833C4" w:rsidRDefault="00E977A9" w:rsidP="00E977A9">
      <w:pPr>
        <w:jc w:val="both"/>
        <w:rPr>
          <w:lang w:val="en-GB"/>
        </w:rPr>
      </w:pPr>
    </w:p>
    <w:p w14:paraId="709CF82F" w14:textId="1ECB13D3" w:rsidR="00186CE3" w:rsidRPr="006833C4" w:rsidRDefault="00186CE3" w:rsidP="00186CE3">
      <w:pPr>
        <w:jc w:val="both"/>
        <w:rPr>
          <w:lang w:val="en-GB"/>
        </w:rPr>
      </w:pPr>
      <w:r w:rsidRPr="006833C4">
        <w:rPr>
          <w:lang w:val="en-GB"/>
        </w:rPr>
        <w:t xml:space="preserve">The developed model employs </w:t>
      </w:r>
      <w:r>
        <w:rPr>
          <w:lang w:val="en-GB"/>
        </w:rPr>
        <w:t xml:space="preserve">the </w:t>
      </w:r>
      <w:r w:rsidRPr="006833C4">
        <w:rPr>
          <w:lang w:val="en-GB"/>
        </w:rPr>
        <w:t>two-factor approach investigating the economic activity through the antagonistic relations between labour and capital</w:t>
      </w:r>
      <w:r>
        <w:rPr>
          <w:lang w:val="en-GB"/>
        </w:rPr>
        <w:t xml:space="preserve">. </w:t>
      </w:r>
      <w:r w:rsidRPr="006833C4">
        <w:rPr>
          <w:lang w:val="en-GB"/>
        </w:rPr>
        <w:t xml:space="preserve">The </w:t>
      </w:r>
      <w:r w:rsidR="00E977A9">
        <w:rPr>
          <w:lang w:val="en-GB"/>
        </w:rPr>
        <w:t xml:space="preserve">data on </w:t>
      </w:r>
      <w:r w:rsidRPr="006833C4">
        <w:rPr>
          <w:lang w:val="en-GB"/>
        </w:rPr>
        <w:t xml:space="preserve">labour is retrieved from Eurostat (2019a) </w:t>
      </w:r>
      <w:r w:rsidR="00E977A9">
        <w:rPr>
          <w:lang w:val="en-GB"/>
        </w:rPr>
        <w:t>in terms of</w:t>
      </w:r>
      <w:r w:rsidRPr="006833C4">
        <w:rPr>
          <w:lang w:val="en-GB"/>
        </w:rPr>
        <w:t xml:space="preserve"> </w:t>
      </w:r>
      <w:r>
        <w:rPr>
          <w:lang w:val="en-GB"/>
        </w:rPr>
        <w:t xml:space="preserve">the </w:t>
      </w:r>
      <w:r w:rsidRPr="006833C4">
        <w:rPr>
          <w:lang w:val="en-GB"/>
        </w:rPr>
        <w:t>number of employed aged 20 to 64.</w:t>
      </w:r>
      <w:r>
        <w:rPr>
          <w:lang w:val="en-GB"/>
        </w:rPr>
        <w:t xml:space="preserve"> </w:t>
      </w:r>
      <w:r w:rsidRPr="006833C4">
        <w:rPr>
          <w:lang w:val="en-GB"/>
        </w:rPr>
        <w:t xml:space="preserve">The capital factor is estimated through </w:t>
      </w:r>
      <w:r>
        <w:rPr>
          <w:lang w:val="en-GB"/>
        </w:rPr>
        <w:t xml:space="preserve">the </w:t>
      </w:r>
      <w:r w:rsidRPr="006833C4">
        <w:rPr>
          <w:lang w:val="en-GB"/>
        </w:rPr>
        <w:t xml:space="preserve">perpetual-inventory method endorsed by </w:t>
      </w:r>
      <w:proofErr w:type="spellStart"/>
      <w:r w:rsidRPr="006833C4">
        <w:rPr>
          <w:lang w:val="en-GB"/>
        </w:rPr>
        <w:t>Berlemann</w:t>
      </w:r>
      <w:proofErr w:type="spellEnd"/>
      <w:r w:rsidRPr="006833C4">
        <w:rPr>
          <w:lang w:val="en-GB"/>
        </w:rPr>
        <w:t xml:space="preserve"> and </w:t>
      </w:r>
      <w:proofErr w:type="spellStart"/>
      <w:r w:rsidRPr="006833C4">
        <w:rPr>
          <w:lang w:val="en-GB"/>
        </w:rPr>
        <w:t>Wesselhöft</w:t>
      </w:r>
      <w:proofErr w:type="spellEnd"/>
      <w:r w:rsidRPr="006833C4">
        <w:rPr>
          <w:lang w:val="en-GB"/>
        </w:rPr>
        <w:t xml:space="preserve"> (2014), where the capital in period </w:t>
      </w:r>
      <m:oMath>
        <m:r>
          <w:rPr>
            <w:rFonts w:ascii="Cambria Math" w:hAnsi="Cambria Math"/>
            <w:lang w:val="en-GB"/>
          </w:rPr>
          <m:t>t</m:t>
        </m:r>
      </m:oMath>
      <w:r w:rsidRPr="006833C4">
        <w:rPr>
          <w:rFonts w:eastAsiaTheme="minorEastAsia"/>
          <w:lang w:val="en-GB"/>
        </w:rPr>
        <w:t xml:space="preserve">, </w:t>
      </w:r>
      <m:oMath>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t</m:t>
            </m:r>
          </m:sub>
        </m:sSub>
      </m:oMath>
      <w:r w:rsidRPr="006833C4">
        <w:rPr>
          <w:rFonts w:eastAsiaTheme="minorEastAsia"/>
          <w:lang w:val="en-GB"/>
        </w:rPr>
        <w:t xml:space="preserve">, </w:t>
      </w:r>
      <w:r w:rsidRPr="006833C4">
        <w:rPr>
          <w:lang w:val="en-GB"/>
        </w:rPr>
        <w:t>is the weighted sum of the history of investments:</w:t>
      </w:r>
    </w:p>
    <w:p w14:paraId="50EA11F8" w14:textId="77777777" w:rsidR="00186CE3" w:rsidRPr="006833C4" w:rsidRDefault="00186CE3" w:rsidP="00186CE3">
      <w:pPr>
        <w:jc w:val="both"/>
        <w:rPr>
          <w:lang w:val="en-GB"/>
        </w:rPr>
      </w:pPr>
    </w:p>
    <w:p w14:paraId="3EC02A57" w14:textId="77777777" w:rsidR="00186CE3" w:rsidRPr="006833C4" w:rsidRDefault="00336472" w:rsidP="00186CE3">
      <w:pPr>
        <w:jc w:val="right"/>
        <w:rPr>
          <w:rFonts w:eastAsiaTheme="minorEastAsia"/>
          <w:lang w:val="en-GB"/>
        </w:rPr>
      </w:pPr>
      <m:oMath>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t</m:t>
            </m:r>
          </m:sub>
        </m:sSub>
        <m:r>
          <w:rPr>
            <w:rFonts w:ascii="Cambria Math" w:hAnsi="Cambria Math"/>
            <w:lang w:val="en-GB"/>
          </w:rPr>
          <m:t>=</m:t>
        </m:r>
        <m:sSup>
          <m:sSupPr>
            <m:ctrlPr>
              <w:rPr>
                <w:rFonts w:ascii="Cambria Math" w:hAnsi="Cambria Math"/>
                <w:i/>
                <w:lang w:val="en-GB"/>
              </w:rPr>
            </m:ctrlPr>
          </m:sSupPr>
          <m:e>
            <m:d>
              <m:dPr>
                <m:ctrlPr>
                  <w:rPr>
                    <w:rFonts w:ascii="Cambria Math" w:hAnsi="Cambria Math"/>
                    <w:i/>
                    <w:lang w:val="en-GB"/>
                  </w:rPr>
                </m:ctrlPr>
              </m:dPr>
              <m:e>
                <m:r>
                  <w:rPr>
                    <w:rFonts w:ascii="Cambria Math" w:hAnsi="Cambria Math"/>
                    <w:lang w:val="en-GB"/>
                  </w:rPr>
                  <m:t>1-δ</m:t>
                </m:r>
              </m:e>
            </m:d>
          </m:e>
          <m:sup>
            <m:r>
              <w:rPr>
                <w:rFonts w:ascii="Cambria Math" w:hAnsi="Cambria Math"/>
                <w:lang w:val="en-GB"/>
              </w:rPr>
              <m:t>t-1</m:t>
            </m:r>
          </m:sup>
        </m:sSup>
        <m:acc>
          <m:accPr>
            <m:chr m:val="̅"/>
            <m:ctrlPr>
              <w:rPr>
                <w:rFonts w:ascii="Cambria Math" w:hAnsi="Cambria Math"/>
                <w:i/>
                <w:lang w:val="en-GB"/>
              </w:rPr>
            </m:ctrlPr>
          </m:accPr>
          <m:e>
            <m:r>
              <w:rPr>
                <w:rFonts w:ascii="Cambria Math" w:hAnsi="Cambria Math"/>
                <w:lang w:val="en-GB"/>
              </w:rPr>
              <m:t>K</m:t>
            </m:r>
          </m:e>
        </m:acc>
        <m:r>
          <w:rPr>
            <w:rFonts w:ascii="Cambria Math" w:hAnsi="Cambria Math"/>
            <w:lang w:val="en-GB"/>
          </w:rPr>
          <m:t>+</m:t>
        </m:r>
        <m:nary>
          <m:naryPr>
            <m:chr m:val="∑"/>
            <m:limLoc m:val="undOvr"/>
            <m:ctrlPr>
              <w:rPr>
                <w:rFonts w:ascii="Cambria Math" w:hAnsi="Cambria Math"/>
                <w:i/>
                <w:lang w:val="en-GB"/>
              </w:rPr>
            </m:ctrlPr>
          </m:naryPr>
          <m:sub>
            <m:r>
              <w:rPr>
                <w:rFonts w:ascii="Cambria Math" w:hAnsi="Cambria Math"/>
                <w:lang w:val="en-GB"/>
              </w:rPr>
              <m:t>i=0</m:t>
            </m:r>
          </m:sub>
          <m:sup>
            <m:r>
              <w:rPr>
                <w:rFonts w:ascii="Cambria Math" w:hAnsi="Cambria Math"/>
                <w:lang w:val="en-GB"/>
              </w:rPr>
              <m:t>t-1</m:t>
            </m:r>
          </m:sup>
          <m:e>
            <m:sSup>
              <m:sSupPr>
                <m:ctrlPr>
                  <w:rPr>
                    <w:rFonts w:ascii="Cambria Math" w:hAnsi="Cambria Math"/>
                    <w:i/>
                    <w:lang w:val="en-GB"/>
                  </w:rPr>
                </m:ctrlPr>
              </m:sSupPr>
              <m:e>
                <m:d>
                  <m:dPr>
                    <m:ctrlPr>
                      <w:rPr>
                        <w:rFonts w:ascii="Cambria Math" w:hAnsi="Cambria Math"/>
                        <w:i/>
                        <w:lang w:val="en-GB"/>
                      </w:rPr>
                    </m:ctrlPr>
                  </m:dPr>
                  <m:e>
                    <m:r>
                      <w:rPr>
                        <w:rFonts w:ascii="Cambria Math" w:hAnsi="Cambria Math"/>
                        <w:lang w:val="en-GB"/>
                      </w:rPr>
                      <m:t>1-δ</m:t>
                    </m:r>
                  </m:e>
                </m:d>
              </m:e>
              <m:sup>
                <m:r>
                  <w:rPr>
                    <w:rFonts w:ascii="Cambria Math" w:hAnsi="Cambria Math"/>
                    <w:lang w:val="en-GB"/>
                  </w:rPr>
                  <m:t>i</m:t>
                </m:r>
              </m:sup>
            </m:sSup>
            <m:sSub>
              <m:sSubPr>
                <m:ctrlPr>
                  <w:rPr>
                    <w:rFonts w:ascii="Cambria Math" w:hAnsi="Cambria Math"/>
                    <w:i/>
                    <w:lang w:val="en-GB"/>
                  </w:rPr>
                </m:ctrlPr>
              </m:sSubPr>
              <m:e>
                <m:r>
                  <w:rPr>
                    <w:rFonts w:ascii="Cambria Math" w:hAnsi="Cambria Math"/>
                    <w:lang w:val="en-GB"/>
                  </w:rPr>
                  <m:t>I</m:t>
                </m:r>
              </m:e>
              <m:sub>
                <m:r>
                  <w:rPr>
                    <w:rFonts w:ascii="Cambria Math" w:hAnsi="Cambria Math"/>
                    <w:lang w:val="en-GB"/>
                  </w:rPr>
                  <m:t>t-(i+1)</m:t>
                </m:r>
              </m:sub>
            </m:sSub>
          </m:e>
        </m:nary>
      </m:oMath>
      <w:r w:rsidR="00186CE3" w:rsidRPr="006833C4">
        <w:rPr>
          <w:rFonts w:eastAsiaTheme="minorEastAsia"/>
          <w:lang w:val="en-GB"/>
        </w:rPr>
        <w:t xml:space="preserve">                                     (</w:t>
      </w:r>
      <w:r w:rsidR="00186CE3">
        <w:rPr>
          <w:rFonts w:eastAsiaTheme="minorEastAsia"/>
          <w:lang w:val="en-GB"/>
        </w:rPr>
        <w:t>2</w:t>
      </w:r>
      <w:r w:rsidR="00186CE3" w:rsidRPr="006833C4">
        <w:rPr>
          <w:rFonts w:eastAsiaTheme="minorEastAsia"/>
          <w:lang w:val="en-GB"/>
        </w:rPr>
        <w:t>)</w:t>
      </w:r>
    </w:p>
    <w:p w14:paraId="6D251DE0" w14:textId="77777777" w:rsidR="00186CE3" w:rsidRPr="006833C4" w:rsidRDefault="00186CE3" w:rsidP="00186CE3">
      <w:pPr>
        <w:jc w:val="both"/>
        <w:rPr>
          <w:lang w:val="en-GB"/>
        </w:rPr>
      </w:pPr>
    </w:p>
    <w:p w14:paraId="43F80526" w14:textId="77777777" w:rsidR="00186CE3" w:rsidRPr="006833C4" w:rsidRDefault="00186CE3" w:rsidP="00186CE3">
      <w:pPr>
        <w:jc w:val="both"/>
        <w:rPr>
          <w:lang w:val="en-GB"/>
        </w:rPr>
      </w:pPr>
      <w:r w:rsidRPr="006833C4">
        <w:rPr>
          <w:lang w:val="en-GB"/>
        </w:rPr>
        <w:t>T</w:t>
      </w:r>
      <w:r w:rsidRPr="006833C4">
        <w:rPr>
          <w:rFonts w:eastAsiaTheme="minorEastAsia"/>
          <w:lang w:val="en-GB"/>
        </w:rPr>
        <w:t>he initial capital stock at the beginning of the investment series (</w:t>
      </w:r>
      <m:oMath>
        <m:acc>
          <m:accPr>
            <m:chr m:val="̅"/>
            <m:ctrlPr>
              <w:rPr>
                <w:rFonts w:ascii="Cambria Math" w:hAnsi="Cambria Math"/>
                <w:i/>
                <w:lang w:val="en-GB"/>
              </w:rPr>
            </m:ctrlPr>
          </m:accPr>
          <m:e>
            <m:r>
              <w:rPr>
                <w:rFonts w:ascii="Cambria Math" w:hAnsi="Cambria Math"/>
                <w:lang w:val="en-GB"/>
              </w:rPr>
              <m:t>K</m:t>
            </m:r>
          </m:e>
        </m:acc>
      </m:oMath>
      <w:r w:rsidRPr="006833C4">
        <w:rPr>
          <w:rFonts w:eastAsiaTheme="minorEastAsia"/>
          <w:lang w:val="en-GB"/>
        </w:rPr>
        <w:t>) is calculated by following Hardberger’s (1978) approach applied through Stata’s “</w:t>
      </w:r>
      <w:proofErr w:type="spellStart"/>
      <w:r w:rsidRPr="006833C4">
        <w:rPr>
          <w:rFonts w:eastAsiaTheme="minorEastAsia"/>
          <w:lang w:val="en-GB"/>
        </w:rPr>
        <w:t>stockcapit</w:t>
      </w:r>
      <w:proofErr w:type="spellEnd"/>
      <w:r w:rsidRPr="006833C4">
        <w:rPr>
          <w:rFonts w:eastAsiaTheme="minorEastAsia"/>
          <w:lang w:val="en-GB"/>
        </w:rPr>
        <w:t>” command (</w:t>
      </w:r>
      <w:proofErr w:type="spellStart"/>
      <w:r w:rsidRPr="006833C4">
        <w:rPr>
          <w:rFonts w:eastAsiaTheme="minorEastAsia"/>
          <w:lang w:val="en-GB"/>
        </w:rPr>
        <w:t>Armadou</w:t>
      </w:r>
      <w:proofErr w:type="spellEnd"/>
      <w:r w:rsidRPr="006833C4">
        <w:rPr>
          <w:rFonts w:eastAsiaTheme="minorEastAsia"/>
          <w:lang w:val="en-GB"/>
        </w:rPr>
        <w:t xml:space="preserve">, 2011). This method requires data on </w:t>
      </w:r>
      <m:oMath>
        <m:r>
          <w:rPr>
            <w:rFonts w:ascii="Cambria Math" w:hAnsi="Cambria Math"/>
            <w:lang w:val="en-GB"/>
          </w:rPr>
          <m:t>GDP</m:t>
        </m:r>
      </m:oMath>
      <w:r>
        <w:rPr>
          <w:rFonts w:eastAsiaTheme="minorEastAsia"/>
          <w:lang w:val="en-GB"/>
        </w:rPr>
        <w:t>,</w:t>
      </w:r>
      <w:r w:rsidRPr="006833C4">
        <w:rPr>
          <w:rFonts w:eastAsiaTheme="minorEastAsia"/>
          <w:lang w:val="en-GB"/>
        </w:rPr>
        <w:t xml:space="preserve"> expressed in 2011 PPP $ and annual data on </w:t>
      </w:r>
      <w:r w:rsidRPr="006833C4">
        <w:rPr>
          <w:lang w:val="en-GB"/>
        </w:rPr>
        <w:t xml:space="preserve">investment </w:t>
      </w:r>
      <w:r w:rsidRPr="006833C4">
        <w:rPr>
          <w:rFonts w:eastAsiaTheme="minorEastAsia"/>
          <w:lang w:val="en-GB"/>
        </w:rPr>
        <w:t xml:space="preserve">(Gross Fixed Capital Formation), denoted as </w:t>
      </w:r>
      <m:oMath>
        <m:r>
          <w:rPr>
            <w:rFonts w:ascii="Cambria Math" w:hAnsi="Cambria Math"/>
            <w:lang w:val="en-GB"/>
          </w:rPr>
          <m:t>I</m:t>
        </m:r>
      </m:oMath>
      <w:r w:rsidRPr="006833C4">
        <w:rPr>
          <w:rFonts w:eastAsiaTheme="minorEastAsia"/>
          <w:lang w:val="en-GB"/>
        </w:rPr>
        <w:t xml:space="preserve">. Both aforementioned </w:t>
      </w:r>
      <w:r>
        <w:rPr>
          <w:rFonts w:eastAsiaTheme="minorEastAsia"/>
          <w:lang w:val="en-GB"/>
        </w:rPr>
        <w:t>sources</w:t>
      </w:r>
      <w:r w:rsidRPr="006833C4">
        <w:rPr>
          <w:rFonts w:eastAsiaTheme="minorEastAsia"/>
          <w:lang w:val="en-GB"/>
        </w:rPr>
        <w:t xml:space="preserve"> are retrieved from the </w:t>
      </w:r>
      <w:r w:rsidRPr="006833C4">
        <w:rPr>
          <w:lang w:val="en-GB"/>
        </w:rPr>
        <w:t xml:space="preserve">World Development Indicators Database published by the </w:t>
      </w:r>
      <w:r w:rsidRPr="006833C4">
        <w:rPr>
          <w:lang w:val="en-GB"/>
        </w:rPr>
        <w:lastRenderedPageBreak/>
        <w:t>World Bank (2019).</w:t>
      </w:r>
      <w:r w:rsidRPr="006833C4">
        <w:rPr>
          <w:rFonts w:eastAsiaTheme="minorEastAsia"/>
          <w:lang w:val="en-GB"/>
        </w:rPr>
        <w:t xml:space="preserve"> Here, it must be stated that the data on investment are converted to 2011 PPP $ through the usage of official conversion factors and adjusted by the price index ratio of the investment goods to </w:t>
      </w:r>
      <m:oMath>
        <m:r>
          <w:rPr>
            <w:rFonts w:ascii="Cambria Math" w:hAnsi="Cambria Math"/>
            <w:lang w:val="en-GB"/>
          </w:rPr>
          <m:t>GDP</m:t>
        </m:r>
      </m:oMath>
      <w:r>
        <w:rPr>
          <w:rFonts w:eastAsiaTheme="minorEastAsia"/>
          <w:lang w:val="en-GB"/>
        </w:rPr>
        <w:t xml:space="preserve"> and</w:t>
      </w:r>
      <w:r w:rsidRPr="006833C4">
        <w:rPr>
          <w:rFonts w:eastAsiaTheme="minorEastAsia"/>
          <w:lang w:val="en-GB"/>
        </w:rPr>
        <w:t xml:space="preserve"> included into </w:t>
      </w:r>
      <w:r w:rsidRPr="006833C4">
        <w:rPr>
          <w:lang w:val="en-GB"/>
        </w:rPr>
        <w:t xml:space="preserve">University of </w:t>
      </w:r>
      <w:proofErr w:type="spellStart"/>
      <w:r w:rsidRPr="006833C4">
        <w:rPr>
          <w:lang w:val="en-GB"/>
        </w:rPr>
        <w:t>Groingen’s</w:t>
      </w:r>
      <w:proofErr w:type="spellEnd"/>
      <w:r w:rsidRPr="006833C4">
        <w:rPr>
          <w:lang w:val="en-GB"/>
        </w:rPr>
        <w:t xml:space="preserve"> (2019) </w:t>
      </w:r>
      <w:r w:rsidRPr="006833C4">
        <w:rPr>
          <w:rFonts w:eastAsiaTheme="minorEastAsia"/>
          <w:lang w:val="en-GB"/>
        </w:rPr>
        <w:t xml:space="preserve">Penn World Tables Database (PWT 9.0). Given that this data set reports values for </w:t>
      </w:r>
      <w:r>
        <w:rPr>
          <w:rFonts w:eastAsiaTheme="minorEastAsia"/>
          <w:lang w:val="en-GB"/>
        </w:rPr>
        <w:t xml:space="preserve">the </w:t>
      </w:r>
      <w:r w:rsidRPr="006833C4">
        <w:rPr>
          <w:rFonts w:eastAsiaTheme="minorEastAsia"/>
          <w:lang w:val="en-GB"/>
        </w:rPr>
        <w:t>period between</w:t>
      </w:r>
      <w:r>
        <w:rPr>
          <w:rFonts w:eastAsiaTheme="minorEastAsia"/>
          <w:lang w:val="en-GB"/>
        </w:rPr>
        <w:t xml:space="preserve"> </w:t>
      </w:r>
      <w:r w:rsidRPr="006833C4">
        <w:rPr>
          <w:rFonts w:eastAsiaTheme="minorEastAsia"/>
          <w:lang w:val="en-GB"/>
        </w:rPr>
        <w:t xml:space="preserve">1950-2014, the information on </w:t>
      </w:r>
      <w:r>
        <w:rPr>
          <w:rFonts w:eastAsiaTheme="minorEastAsia"/>
          <w:lang w:val="en-GB"/>
        </w:rPr>
        <w:t xml:space="preserve">the </w:t>
      </w:r>
      <w:r w:rsidRPr="006833C4">
        <w:rPr>
          <w:rFonts w:eastAsiaTheme="minorEastAsia"/>
          <w:lang w:val="en-GB"/>
        </w:rPr>
        <w:t xml:space="preserve">two succeeding years was estimated as </w:t>
      </w:r>
      <w:r>
        <w:rPr>
          <w:rFonts w:eastAsiaTheme="minorEastAsia"/>
          <w:lang w:val="en-GB"/>
        </w:rPr>
        <w:t xml:space="preserve">the </w:t>
      </w:r>
      <w:r w:rsidRPr="006833C4">
        <w:rPr>
          <w:rFonts w:eastAsiaTheme="minorEastAsia"/>
          <w:lang w:val="en-GB"/>
        </w:rPr>
        <w:t xml:space="preserve">average value of </w:t>
      </w:r>
      <w:r>
        <w:rPr>
          <w:rFonts w:eastAsiaTheme="minorEastAsia"/>
          <w:lang w:val="en-GB"/>
        </w:rPr>
        <w:t xml:space="preserve">the five </w:t>
      </w:r>
      <w:r w:rsidRPr="006833C4">
        <w:rPr>
          <w:rFonts w:eastAsiaTheme="minorEastAsia"/>
          <w:lang w:val="en-GB"/>
        </w:rPr>
        <w:t>preceding observations. Finally, the capital stock is computed through assuming the constant geometric depreciation rate (</w:t>
      </w:r>
      <m:oMath>
        <m:r>
          <w:rPr>
            <w:rFonts w:ascii="Cambria Math" w:hAnsi="Cambria Math"/>
            <w:lang w:val="en-GB"/>
          </w:rPr>
          <m:t>δ)</m:t>
        </m:r>
      </m:oMath>
      <w:r w:rsidRPr="006833C4">
        <w:rPr>
          <w:rFonts w:eastAsiaTheme="minorEastAsia"/>
          <w:lang w:val="en-GB"/>
        </w:rPr>
        <w:t xml:space="preserve"> of 5% based on </w:t>
      </w:r>
      <w:r w:rsidRPr="006833C4">
        <w:rPr>
          <w:lang w:val="en-GB"/>
        </w:rPr>
        <w:t>Bosworth and Collins (2003).</w:t>
      </w:r>
    </w:p>
    <w:p w14:paraId="1CEA5681" w14:textId="77777777" w:rsidR="00186CE3" w:rsidRPr="006833C4" w:rsidRDefault="00186CE3" w:rsidP="00186CE3">
      <w:pPr>
        <w:jc w:val="both"/>
        <w:rPr>
          <w:lang w:val="en-GB"/>
        </w:rPr>
      </w:pPr>
    </w:p>
    <w:p w14:paraId="2AD7D0C3" w14:textId="77777777" w:rsidR="00E977A9" w:rsidRPr="006833C4" w:rsidRDefault="00E977A9" w:rsidP="00E977A9">
      <w:pPr>
        <w:jc w:val="both"/>
        <w:rPr>
          <w:lang w:val="en-GB"/>
        </w:rPr>
      </w:pPr>
      <w:r>
        <w:rPr>
          <w:lang w:val="en-GB"/>
        </w:rPr>
        <w:t>The</w:t>
      </w:r>
      <w:r w:rsidRPr="006833C4">
        <w:rPr>
          <w:lang w:val="en-GB"/>
        </w:rPr>
        <w:t xml:space="preserve"> income shares</w:t>
      </w:r>
      <w:r>
        <w:rPr>
          <w:lang w:val="en-GB"/>
        </w:rPr>
        <w:t xml:space="preserve"> of labour and capital are then calculated based on the </w:t>
      </w:r>
      <w:r w:rsidRPr="006833C4">
        <w:rPr>
          <w:lang w:val="en-GB"/>
        </w:rPr>
        <w:t xml:space="preserve"> United Nations National Accounts Statistics Database (UN-NAS</w:t>
      </w:r>
      <w:r>
        <w:rPr>
          <w:lang w:val="en-GB"/>
        </w:rPr>
        <w:t>, 2019)</w:t>
      </w:r>
      <w:r w:rsidRPr="006833C4">
        <w:rPr>
          <w:lang w:val="en-GB"/>
        </w:rPr>
        <w:t xml:space="preserve"> by disaggregating the national income as:</w:t>
      </w:r>
    </w:p>
    <w:p w14:paraId="15CA3065" w14:textId="77777777" w:rsidR="00186CE3" w:rsidRPr="006833C4" w:rsidRDefault="00186CE3" w:rsidP="00186CE3">
      <w:pPr>
        <w:rPr>
          <w:lang w:val="en-GB"/>
        </w:rPr>
      </w:pPr>
    </w:p>
    <w:p w14:paraId="08AF4233" w14:textId="77777777" w:rsidR="00186CE3" w:rsidRPr="006833C4" w:rsidRDefault="00186CE3" w:rsidP="00186CE3">
      <w:pPr>
        <w:jc w:val="right"/>
        <w:rPr>
          <w:rFonts w:eastAsiaTheme="minorEastAsia"/>
          <w:lang w:val="en-GB"/>
        </w:rPr>
      </w:pPr>
      <m:oMath>
        <m:r>
          <w:rPr>
            <w:rFonts w:ascii="Cambria Math" w:hAnsi="Cambria Math"/>
            <w:lang w:val="en-GB"/>
          </w:rPr>
          <m:t>GDP=COE+GOS+GMI+</m:t>
        </m:r>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ind</m:t>
            </m:r>
          </m:sub>
        </m:sSub>
      </m:oMath>
      <w:r w:rsidRPr="006833C4">
        <w:rPr>
          <w:rFonts w:eastAsiaTheme="minorEastAsia"/>
          <w:lang w:val="en-GB"/>
        </w:rPr>
        <w:t xml:space="preserve">                                          (</w:t>
      </w:r>
      <w:r>
        <w:rPr>
          <w:rFonts w:eastAsiaTheme="minorEastAsia"/>
          <w:lang w:val="en-GB"/>
        </w:rPr>
        <w:t>3</w:t>
      </w:r>
      <w:r w:rsidRPr="006833C4">
        <w:rPr>
          <w:rFonts w:eastAsiaTheme="minorEastAsia"/>
          <w:lang w:val="en-GB"/>
        </w:rPr>
        <w:t>)</w:t>
      </w:r>
    </w:p>
    <w:p w14:paraId="468B5826" w14:textId="77777777" w:rsidR="00186CE3" w:rsidRPr="006833C4" w:rsidRDefault="00186CE3" w:rsidP="00186CE3">
      <w:pPr>
        <w:jc w:val="both"/>
        <w:rPr>
          <w:rFonts w:eastAsiaTheme="minorEastAsia"/>
          <w:lang w:val="en-GB"/>
        </w:rPr>
      </w:pPr>
    </w:p>
    <w:p w14:paraId="6AC1776E" w14:textId="77777777" w:rsidR="00186CE3" w:rsidRPr="006833C4" w:rsidRDefault="00186CE3" w:rsidP="00186CE3">
      <w:pPr>
        <w:jc w:val="both"/>
        <w:rPr>
          <w:rFonts w:eastAsiaTheme="minorEastAsia"/>
          <w:lang w:val="en-GB"/>
        </w:rPr>
      </w:pPr>
      <w:r w:rsidRPr="006833C4">
        <w:rPr>
          <w:rFonts w:eastAsiaTheme="minorEastAsia"/>
          <w:lang w:val="en-GB"/>
        </w:rPr>
        <w:t>where, the value added or the gross domestic product (</w:t>
      </w:r>
      <m:oMath>
        <m:r>
          <w:rPr>
            <w:rFonts w:ascii="Cambria Math" w:eastAsiaTheme="minorEastAsia" w:hAnsi="Cambria Math"/>
            <w:lang w:val="en-GB"/>
          </w:rPr>
          <m:t>GDP</m:t>
        </m:r>
      </m:oMath>
      <w:r w:rsidRPr="006833C4">
        <w:rPr>
          <w:rFonts w:eastAsiaTheme="minorEastAsia"/>
          <w:lang w:val="en-GB"/>
        </w:rPr>
        <w:t>) is the sum of four components: compensation of employees (</w:t>
      </w:r>
      <m:oMath>
        <m:r>
          <w:rPr>
            <w:rFonts w:ascii="Cambria Math" w:hAnsi="Cambria Math"/>
            <w:lang w:val="en-GB"/>
          </w:rPr>
          <m:t>COE</m:t>
        </m:r>
      </m:oMath>
      <w:r w:rsidRPr="006833C4">
        <w:rPr>
          <w:rFonts w:eastAsiaTheme="minorEastAsia"/>
          <w:lang w:val="en-GB"/>
        </w:rPr>
        <w:t>) comprising of gross (pre-tax) wages, gross operating surplus (</w:t>
      </w:r>
      <m:oMath>
        <m:r>
          <w:rPr>
            <w:rFonts w:ascii="Cambria Math" w:hAnsi="Cambria Math"/>
            <w:lang w:val="en-GB"/>
          </w:rPr>
          <m:t>GOS</m:t>
        </m:r>
      </m:oMath>
      <w:r w:rsidRPr="006833C4">
        <w:rPr>
          <w:rFonts w:eastAsiaTheme="minorEastAsia"/>
          <w:lang w:val="en-GB"/>
        </w:rPr>
        <w:t>) indicating gross profits of corporate and government-owned enterprises, gross mixed income (</w:t>
      </w:r>
      <m:oMath>
        <m:r>
          <w:rPr>
            <w:rFonts w:ascii="Cambria Math" w:hAnsi="Cambria Math"/>
            <w:lang w:val="en-GB"/>
          </w:rPr>
          <m:t>GMI</m:t>
        </m:r>
      </m:oMath>
      <w:r w:rsidRPr="006833C4">
        <w:rPr>
          <w:rFonts w:eastAsiaTheme="minorEastAsia"/>
          <w:lang w:val="en-GB"/>
        </w:rPr>
        <w:t>) or gross value added by the private unincorporated enterprises, and the indirect taxes corrected for subsidies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ind</m:t>
            </m:r>
          </m:sub>
        </m:sSub>
      </m:oMath>
      <w:r w:rsidRPr="006833C4">
        <w:rPr>
          <w:rFonts w:eastAsiaTheme="minorEastAsia"/>
          <w:lang w:val="en-GB"/>
        </w:rPr>
        <w:t>).</w:t>
      </w:r>
    </w:p>
    <w:p w14:paraId="1B0F97B2" w14:textId="77777777" w:rsidR="00186CE3" w:rsidRPr="006833C4" w:rsidRDefault="00186CE3" w:rsidP="00186CE3">
      <w:pPr>
        <w:jc w:val="both"/>
        <w:rPr>
          <w:rFonts w:eastAsiaTheme="minorEastAsia"/>
          <w:lang w:val="en-GB"/>
        </w:rPr>
      </w:pPr>
      <w:r w:rsidRPr="006833C4">
        <w:rPr>
          <w:rFonts w:eastAsiaTheme="minorEastAsia"/>
          <w:lang w:val="en-GB"/>
        </w:rPr>
        <w:t xml:space="preserve">In accordance with Guerriero (2012) and </w:t>
      </w:r>
      <w:r w:rsidRPr="006833C4">
        <w:rPr>
          <w:szCs w:val="21"/>
          <w:lang w:val="en-GB"/>
        </w:rPr>
        <w:t xml:space="preserve">Bernanke and </w:t>
      </w:r>
      <w:proofErr w:type="spellStart"/>
      <w:r w:rsidRPr="006833C4">
        <w:rPr>
          <w:szCs w:val="21"/>
          <w:lang w:val="en-GB"/>
        </w:rPr>
        <w:t>Gürkaynak</w:t>
      </w:r>
      <w:proofErr w:type="spellEnd"/>
      <w:r w:rsidRPr="006833C4">
        <w:rPr>
          <w:szCs w:val="21"/>
          <w:lang w:val="en-GB"/>
        </w:rPr>
        <w:t xml:space="preserve"> (2001), </w:t>
      </w:r>
      <w:r w:rsidRPr="006833C4">
        <w:rPr>
          <w:rFonts w:eastAsiaTheme="minorEastAsia"/>
          <w:lang w:val="en-GB"/>
        </w:rPr>
        <w:t xml:space="preserve">the specific factor shares are calculated by assuming the equivalence between value added and </w:t>
      </w:r>
      <m:oMath>
        <m:r>
          <w:rPr>
            <w:rFonts w:ascii="Cambria Math" w:eastAsiaTheme="minorEastAsia" w:hAnsi="Cambria Math"/>
            <w:lang w:val="en-GB"/>
          </w:rPr>
          <m:t>GDP</m:t>
        </m:r>
      </m:oMath>
      <w:r w:rsidRPr="006833C4">
        <w:rPr>
          <w:rFonts w:eastAsiaTheme="minorEastAsia"/>
          <w:lang w:val="en-GB"/>
        </w:rPr>
        <w:t xml:space="preserve">. The following step is to categorize the individual components by their income sources. While there is no question regarding the placement of the </w:t>
      </w:r>
      <m:oMath>
        <m:r>
          <w:rPr>
            <w:rFonts w:ascii="Cambria Math" w:hAnsi="Cambria Math"/>
            <w:lang w:val="en-GB"/>
          </w:rPr>
          <m:t>COE</m:t>
        </m:r>
      </m:oMath>
      <w:r w:rsidRPr="006833C4">
        <w:rPr>
          <w:rFonts w:eastAsiaTheme="minorEastAsia"/>
          <w:lang w:val="en-GB"/>
        </w:rPr>
        <w:t xml:space="preserve"> and </w:t>
      </w:r>
      <m:oMath>
        <m:r>
          <w:rPr>
            <w:rFonts w:ascii="Cambria Math" w:hAnsi="Cambria Math"/>
            <w:lang w:val="en-GB"/>
          </w:rPr>
          <m:t>GOS</m:t>
        </m:r>
      </m:oMath>
      <w:r w:rsidRPr="006833C4">
        <w:rPr>
          <w:rFonts w:eastAsiaTheme="minorEastAsia"/>
          <w:lang w:val="en-GB"/>
        </w:rPr>
        <w:t xml:space="preserve">, when it comes to incomes of unincorporated enterprises, they cannot be associated to a single source and must be dealt with separately. This is the case since the </w:t>
      </w:r>
      <m:oMath>
        <m:r>
          <w:rPr>
            <w:rFonts w:ascii="Cambria Math" w:hAnsi="Cambria Math"/>
            <w:lang w:val="en-GB"/>
          </w:rPr>
          <m:t>GMI</m:t>
        </m:r>
      </m:oMath>
      <w:r w:rsidRPr="006833C4">
        <w:rPr>
          <w:rFonts w:eastAsiaTheme="minorEastAsia"/>
          <w:lang w:val="en-GB"/>
        </w:rPr>
        <w:t xml:space="preserve">, as the income of </w:t>
      </w:r>
      <w:r>
        <w:rPr>
          <w:rFonts w:eastAsiaTheme="minorEastAsia"/>
          <w:lang w:val="en-GB"/>
        </w:rPr>
        <w:t xml:space="preserve">the </w:t>
      </w:r>
      <w:r w:rsidRPr="006833C4">
        <w:rPr>
          <w:rFonts w:eastAsiaTheme="minorEastAsia"/>
          <w:lang w:val="en-GB"/>
        </w:rPr>
        <w:t>self-employed, includes both profit and labour incomes of unincorporated enterprises. Within the relevant literature, various method</w:t>
      </w:r>
      <w:r>
        <w:rPr>
          <w:rFonts w:eastAsiaTheme="minorEastAsia"/>
          <w:lang w:val="en-GB"/>
        </w:rPr>
        <w:t>s</w:t>
      </w:r>
      <w:r w:rsidRPr="006833C4">
        <w:rPr>
          <w:rFonts w:eastAsiaTheme="minorEastAsia"/>
          <w:lang w:val="en-GB"/>
        </w:rPr>
        <w:t xml:space="preserve"> were used to overcome this issue. While Kravis (1959) attributed </w:t>
      </w:r>
      <w:r>
        <w:rPr>
          <w:rFonts w:eastAsiaTheme="minorEastAsia"/>
          <w:lang w:val="en-GB"/>
        </w:rPr>
        <w:t xml:space="preserve">the </w:t>
      </w:r>
      <w:r w:rsidRPr="006833C4">
        <w:rPr>
          <w:rFonts w:eastAsiaTheme="minorEastAsia"/>
          <w:lang w:val="en-GB"/>
        </w:rPr>
        <w:t xml:space="preserve">entire </w:t>
      </w:r>
      <m:oMath>
        <m:r>
          <w:rPr>
            <w:rFonts w:ascii="Cambria Math" w:hAnsi="Cambria Math"/>
            <w:lang w:val="en-GB"/>
          </w:rPr>
          <m:t>GMI</m:t>
        </m:r>
      </m:oMath>
      <w:r w:rsidRPr="006833C4">
        <w:rPr>
          <w:rFonts w:eastAsiaTheme="minorEastAsia"/>
          <w:lang w:val="en-GB"/>
        </w:rPr>
        <w:t xml:space="preserve"> to the labour income, Johnson (1954), Guscina (2006), and Jayadev (2007), imputed two-thirds of </w:t>
      </w:r>
      <m:oMath>
        <m:r>
          <w:rPr>
            <w:rFonts w:ascii="Cambria Math" w:hAnsi="Cambria Math"/>
            <w:lang w:val="en-GB"/>
          </w:rPr>
          <m:t>GMI</m:t>
        </m:r>
      </m:oMath>
      <w:r w:rsidRPr="006833C4">
        <w:rPr>
          <w:rFonts w:eastAsiaTheme="minorEastAsia"/>
          <w:lang w:val="en-GB"/>
        </w:rPr>
        <w:t xml:space="preserve"> to labour and one-third to profit income. Given that these methods either underestimated or overestimated the factor shares, the authors decided to break down the </w:t>
      </w:r>
      <m:oMath>
        <m:r>
          <w:rPr>
            <w:rFonts w:ascii="Cambria Math" w:hAnsi="Cambria Math"/>
            <w:lang w:val="en-GB"/>
          </w:rPr>
          <m:t>GMI</m:t>
        </m:r>
      </m:oMath>
      <w:r w:rsidRPr="006833C4">
        <w:rPr>
          <w:rFonts w:eastAsiaTheme="minorEastAsia"/>
          <w:lang w:val="en-GB"/>
        </w:rPr>
        <w:t xml:space="preserve"> by using </w:t>
      </w:r>
      <w:proofErr w:type="spellStart"/>
      <w:r w:rsidRPr="006833C4">
        <w:rPr>
          <w:lang w:val="en-GB"/>
        </w:rPr>
        <w:t>Gollin’s</w:t>
      </w:r>
      <w:proofErr w:type="spellEnd"/>
      <w:r w:rsidRPr="006833C4">
        <w:rPr>
          <w:lang w:val="en-GB"/>
        </w:rPr>
        <w:t xml:space="preserve"> (2002) second adjustment. </w:t>
      </w:r>
      <w:r w:rsidRPr="006833C4">
        <w:rPr>
          <w:rFonts w:eastAsiaTheme="minorEastAsia"/>
          <w:lang w:val="en-GB"/>
        </w:rPr>
        <w:t xml:space="preserve">The benefit of </w:t>
      </w:r>
      <w:r>
        <w:rPr>
          <w:rFonts w:eastAsiaTheme="minorEastAsia"/>
          <w:lang w:val="en-GB"/>
        </w:rPr>
        <w:t>the</w:t>
      </w:r>
      <w:r w:rsidRPr="006833C4">
        <w:rPr>
          <w:rFonts w:eastAsiaTheme="minorEastAsia"/>
          <w:lang w:val="en-GB"/>
        </w:rPr>
        <w:t xml:space="preserve"> method</w:t>
      </w:r>
      <w:r>
        <w:rPr>
          <w:rFonts w:eastAsiaTheme="minorEastAsia"/>
          <w:lang w:val="en-GB"/>
        </w:rPr>
        <w:t xml:space="preserve"> used</w:t>
      </w:r>
      <w:r w:rsidRPr="006833C4">
        <w:rPr>
          <w:rFonts w:eastAsiaTheme="minorEastAsia"/>
          <w:lang w:val="en-GB"/>
        </w:rPr>
        <w:t xml:space="preserve"> produced</w:t>
      </w:r>
      <w:r>
        <w:rPr>
          <w:rFonts w:eastAsiaTheme="minorEastAsia"/>
          <w:lang w:val="en-GB"/>
        </w:rPr>
        <w:t xml:space="preserve"> a</w:t>
      </w:r>
      <w:r w:rsidRPr="006833C4">
        <w:rPr>
          <w:rFonts w:eastAsiaTheme="minorEastAsia"/>
          <w:lang w:val="en-GB"/>
        </w:rPr>
        <w:t xml:space="preserve"> twofold effect. Besides differentiating and accounting for the self-employed income, it created country-specific anchors, crucial for the cross-country analysis. </w:t>
      </w:r>
      <w:r w:rsidRPr="006833C4">
        <w:rPr>
          <w:lang w:val="en-GB"/>
        </w:rPr>
        <w:t xml:space="preserve">Therefore, the </w:t>
      </w:r>
      <m:oMath>
        <m:r>
          <w:rPr>
            <w:rFonts w:ascii="Cambria Math" w:hAnsi="Cambria Math"/>
            <w:lang w:val="en-GB"/>
          </w:rPr>
          <m:t>GMI</m:t>
        </m:r>
      </m:oMath>
      <w:r w:rsidRPr="006833C4">
        <w:rPr>
          <w:rFonts w:eastAsiaTheme="minorEastAsia"/>
          <w:lang w:val="en-GB"/>
        </w:rPr>
        <w:t xml:space="preserve"> is treated as </w:t>
      </w:r>
      <w:r>
        <w:rPr>
          <w:rFonts w:eastAsiaTheme="minorEastAsia"/>
          <w:lang w:val="en-GB"/>
        </w:rPr>
        <w:t xml:space="preserve">being </w:t>
      </w:r>
      <w:r w:rsidRPr="006833C4">
        <w:rPr>
          <w:lang w:val="en-GB"/>
        </w:rPr>
        <w:t>compris</w:t>
      </w:r>
      <w:r>
        <w:rPr>
          <w:lang w:val="en-GB"/>
        </w:rPr>
        <w:t>ed</w:t>
      </w:r>
      <w:r w:rsidRPr="006833C4">
        <w:rPr>
          <w:lang w:val="en-GB"/>
        </w:rPr>
        <w:t xml:space="preserve"> of the equivalent labour/capital mix as the rest of </w:t>
      </w:r>
      <w:r>
        <w:rPr>
          <w:lang w:val="en-GB"/>
        </w:rPr>
        <w:t xml:space="preserve">the </w:t>
      </w:r>
      <w:r w:rsidRPr="006833C4">
        <w:rPr>
          <w:lang w:val="en-GB"/>
        </w:rPr>
        <w:t>economy. On these grounds, the total profit income share (</w:t>
      </w:r>
      <m:oMath>
        <m:r>
          <m:rPr>
            <m:sty m:val="p"/>
          </m:rPr>
          <w:rPr>
            <w:rFonts w:ascii="Cambria Math" w:eastAsiaTheme="minorEastAsia" w:hAnsi="Cambria Math"/>
            <w:lang w:val="en-GB"/>
          </w:rPr>
          <m:t>Π</m:t>
        </m:r>
      </m:oMath>
      <w:r w:rsidRPr="006833C4">
        <w:rPr>
          <w:rFonts w:eastAsiaTheme="minorEastAsia"/>
          <w:lang w:val="en-GB"/>
        </w:rPr>
        <w:t>)</w:t>
      </w:r>
      <w:r w:rsidRPr="006833C4">
        <w:rPr>
          <w:lang w:val="en-GB"/>
        </w:rPr>
        <w:t xml:space="preserve"> is calculated as:</w:t>
      </w:r>
    </w:p>
    <w:p w14:paraId="403B4E3F" w14:textId="77777777" w:rsidR="00186CE3" w:rsidRPr="006833C4" w:rsidRDefault="00186CE3" w:rsidP="00186CE3">
      <w:pPr>
        <w:jc w:val="both"/>
        <w:rPr>
          <w:rFonts w:eastAsiaTheme="minorEastAsia"/>
          <w:lang w:val="en-GB"/>
        </w:rPr>
      </w:pPr>
    </w:p>
    <w:p w14:paraId="3E35A4C6" w14:textId="77777777" w:rsidR="00186CE3" w:rsidRPr="006833C4" w:rsidRDefault="00186CE3" w:rsidP="00186CE3">
      <w:pPr>
        <w:jc w:val="right"/>
        <w:rPr>
          <w:rFonts w:eastAsiaTheme="minorEastAsia"/>
          <w:lang w:val="en-GB"/>
        </w:rPr>
      </w:pPr>
      <m:oMath>
        <m:r>
          <m:rPr>
            <m:sty m:val="p"/>
          </m:rPr>
          <w:rPr>
            <w:rFonts w:ascii="Cambria Math" w:eastAsiaTheme="minorEastAsia" w:hAnsi="Cambria Math"/>
            <w:lang w:val="en-GB"/>
          </w:rPr>
          <m:t>Π</m:t>
        </m:r>
        <m:r>
          <w:rPr>
            <w:rFonts w:ascii="Cambria Math" w:eastAsiaTheme="minorEastAsia" w:hAnsi="Cambria Math"/>
            <w:lang w:val="en-GB"/>
          </w:rPr>
          <m:t>=GOS+</m:t>
        </m:r>
        <m:d>
          <m:dPr>
            <m:ctrlPr>
              <w:rPr>
                <w:rFonts w:ascii="Cambria Math" w:eastAsiaTheme="minorEastAsia" w:hAnsi="Cambria Math"/>
                <w:i/>
                <w:lang w:val="en-GB"/>
              </w:rPr>
            </m:ctrlPr>
          </m:dPr>
          <m:e>
            <m:f>
              <m:fPr>
                <m:ctrlPr>
                  <w:rPr>
                    <w:rFonts w:ascii="Cambria Math" w:eastAsiaTheme="minorEastAsia" w:hAnsi="Cambria Math"/>
                    <w:i/>
                    <w:lang w:val="en-GB"/>
                  </w:rPr>
                </m:ctrlPr>
              </m:fPr>
              <m:num>
                <m:r>
                  <w:rPr>
                    <w:rFonts w:ascii="Cambria Math" w:eastAsiaTheme="minorEastAsia" w:hAnsi="Cambria Math"/>
                    <w:lang w:val="en-GB"/>
                  </w:rPr>
                  <m:t>GOS</m:t>
                </m:r>
              </m:num>
              <m:den>
                <m:r>
                  <w:rPr>
                    <w:rFonts w:ascii="Cambria Math" w:eastAsiaTheme="minorEastAsia" w:hAnsi="Cambria Math"/>
                    <w:lang w:val="en-GB"/>
                  </w:rPr>
                  <m:t>COE+GOS</m:t>
                </m:r>
              </m:den>
            </m:f>
          </m:e>
        </m:d>
        <m:r>
          <w:rPr>
            <w:rFonts w:ascii="Cambria Math" w:eastAsiaTheme="minorEastAsia" w:hAnsi="Cambria Math"/>
            <w:lang w:val="en-GB"/>
          </w:rPr>
          <m:t>*GMI</m:t>
        </m:r>
      </m:oMath>
      <w:r w:rsidRPr="006833C4">
        <w:rPr>
          <w:rFonts w:eastAsiaTheme="minorEastAsia"/>
          <w:lang w:val="en-GB"/>
        </w:rPr>
        <w:t xml:space="preserve">                                              (</w:t>
      </w:r>
      <w:r>
        <w:rPr>
          <w:rFonts w:eastAsiaTheme="minorEastAsia"/>
          <w:lang w:val="en-GB"/>
        </w:rPr>
        <w:t>4</w:t>
      </w:r>
      <w:r w:rsidRPr="006833C4">
        <w:rPr>
          <w:rFonts w:eastAsiaTheme="minorEastAsia"/>
          <w:lang w:val="en-GB"/>
        </w:rPr>
        <w:t>)</w:t>
      </w:r>
    </w:p>
    <w:p w14:paraId="2AFF0A43" w14:textId="77777777" w:rsidR="00186CE3" w:rsidRPr="006833C4" w:rsidRDefault="00186CE3" w:rsidP="00186CE3">
      <w:pPr>
        <w:jc w:val="both"/>
        <w:rPr>
          <w:rFonts w:eastAsiaTheme="minorEastAsia"/>
          <w:lang w:val="en-GB"/>
        </w:rPr>
      </w:pPr>
    </w:p>
    <w:p w14:paraId="15396703" w14:textId="77777777" w:rsidR="00186CE3" w:rsidRDefault="00186CE3" w:rsidP="00186CE3">
      <w:pPr>
        <w:jc w:val="both"/>
        <w:rPr>
          <w:rFonts w:eastAsiaTheme="minorEastAsia"/>
          <w:lang w:val="en-GB"/>
        </w:rPr>
      </w:pPr>
      <w:r w:rsidRPr="006833C4">
        <w:rPr>
          <w:rFonts w:eastAsiaTheme="minorEastAsia"/>
          <w:lang w:val="en-GB"/>
        </w:rPr>
        <w:t xml:space="preserve">Contrarily, the labour share is taken as the residual. Thus, the authors assumed that the total labour share includes gross wages, a part of </w:t>
      </w:r>
      <w:r>
        <w:rPr>
          <w:rFonts w:eastAsiaTheme="minorEastAsia"/>
          <w:lang w:val="en-GB"/>
        </w:rPr>
        <w:t xml:space="preserve">the </w:t>
      </w:r>
      <w:r w:rsidRPr="006833C4">
        <w:rPr>
          <w:rFonts w:eastAsiaTheme="minorEastAsia"/>
          <w:lang w:val="en-GB"/>
        </w:rPr>
        <w:t>unincorporated income, and</w:t>
      </w:r>
      <w:r>
        <w:rPr>
          <w:rFonts w:eastAsiaTheme="minorEastAsia"/>
          <w:lang w:val="en-GB"/>
        </w:rPr>
        <w:t xml:space="preserve"> the</w:t>
      </w:r>
      <w:r w:rsidRPr="006833C4">
        <w:rPr>
          <w:rFonts w:eastAsiaTheme="minorEastAsia"/>
          <w:lang w:val="en-GB"/>
        </w:rPr>
        <w:t xml:space="preserve"> entire public sector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ind</m:t>
            </m:r>
          </m:sub>
        </m:sSub>
      </m:oMath>
      <w:r w:rsidRPr="006833C4">
        <w:rPr>
          <w:rFonts w:eastAsiaTheme="minorEastAsia"/>
          <w:lang w:val="en-GB"/>
        </w:rPr>
        <w:t xml:space="preserve">). Finally, the information on </w:t>
      </w:r>
      <w:r>
        <w:rPr>
          <w:rFonts w:eastAsiaTheme="minorEastAsia"/>
          <w:lang w:val="en-GB"/>
        </w:rPr>
        <w:t xml:space="preserve">the </w:t>
      </w:r>
      <w:r w:rsidRPr="006833C4">
        <w:rPr>
          <w:rFonts w:eastAsiaTheme="minorEastAsia"/>
          <w:lang w:val="en-GB"/>
        </w:rPr>
        <w:t xml:space="preserve">countries’ total profit and labour incomes are received by multiplying the World Bank’s (2019) 2011 PPP $ </w:t>
      </w:r>
      <m:oMath>
        <m:r>
          <w:rPr>
            <w:rFonts w:ascii="Cambria Math" w:eastAsiaTheme="minorEastAsia" w:hAnsi="Cambria Math"/>
            <w:lang w:val="en-GB"/>
          </w:rPr>
          <m:t>GDP</m:t>
        </m:r>
      </m:oMath>
      <w:r w:rsidRPr="006833C4">
        <w:rPr>
          <w:rFonts w:eastAsiaTheme="minorEastAsia"/>
          <w:lang w:val="en-GB"/>
        </w:rPr>
        <w:t xml:space="preserve"> with the respective factor share.</w:t>
      </w:r>
    </w:p>
    <w:p w14:paraId="56319A2E" w14:textId="77777777" w:rsidR="00186CE3" w:rsidRPr="0084528D" w:rsidRDefault="00186CE3" w:rsidP="00186CE3">
      <w:pPr>
        <w:rPr>
          <w:lang w:val="en-GB"/>
        </w:rPr>
      </w:pPr>
    </w:p>
    <w:p w14:paraId="47F4CA7A" w14:textId="557A4ACF" w:rsidR="00186CE3" w:rsidRPr="000E0858" w:rsidRDefault="00186CE3" w:rsidP="00186CE3">
      <w:pPr>
        <w:pStyle w:val="ListParagraph"/>
        <w:numPr>
          <w:ilvl w:val="0"/>
          <w:numId w:val="13"/>
        </w:numPr>
        <w:rPr>
          <w:b/>
          <w:lang w:val="en-GB"/>
        </w:rPr>
      </w:pPr>
      <w:r w:rsidRPr="000E0858">
        <w:rPr>
          <w:b/>
          <w:lang w:val="en-GB"/>
        </w:rPr>
        <w:t>T</w:t>
      </w:r>
      <w:r w:rsidR="00D51097">
        <w:rPr>
          <w:b/>
          <w:lang w:val="en-GB"/>
        </w:rPr>
        <w:t>HE SPECIFICATION OF THE EMPIRICAL MODEL OF EUROZONE</w:t>
      </w:r>
      <w:r>
        <w:rPr>
          <w:b/>
          <w:lang w:val="en-GB"/>
        </w:rPr>
        <w:t>’</w:t>
      </w:r>
      <w:r w:rsidR="00D51097">
        <w:rPr>
          <w:b/>
          <w:lang w:val="en-GB"/>
        </w:rPr>
        <w:t xml:space="preserve">S </w:t>
      </w:r>
      <w:r>
        <w:rPr>
          <w:b/>
          <w:lang w:val="en-GB"/>
        </w:rPr>
        <w:t>U</w:t>
      </w:r>
      <w:r w:rsidR="00D51097">
        <w:rPr>
          <w:b/>
          <w:lang w:val="en-GB"/>
        </w:rPr>
        <w:t xml:space="preserve">NEQUAL </w:t>
      </w:r>
      <w:r>
        <w:rPr>
          <w:b/>
          <w:lang w:val="en-GB"/>
        </w:rPr>
        <w:t>E</w:t>
      </w:r>
      <w:r w:rsidR="00D51097">
        <w:rPr>
          <w:b/>
          <w:lang w:val="en-GB"/>
        </w:rPr>
        <w:t>XCHANGE</w:t>
      </w:r>
    </w:p>
    <w:p w14:paraId="15087627" w14:textId="77777777" w:rsidR="00186CE3" w:rsidRPr="000E0858" w:rsidRDefault="00186CE3" w:rsidP="00186CE3">
      <w:pPr>
        <w:rPr>
          <w:lang w:val="en-GB"/>
        </w:rPr>
      </w:pPr>
    </w:p>
    <w:p w14:paraId="00A962C1" w14:textId="77777777" w:rsidR="00186CE3" w:rsidRPr="006833C4" w:rsidRDefault="00186CE3" w:rsidP="00186CE3">
      <w:pPr>
        <w:jc w:val="both"/>
        <w:rPr>
          <w:lang w:val="en-GB"/>
        </w:rPr>
      </w:pPr>
      <w:r>
        <w:rPr>
          <w:lang w:val="en-GB"/>
        </w:rPr>
        <w:t xml:space="preserve">The </w:t>
      </w:r>
      <w:r w:rsidRPr="006833C4">
        <w:rPr>
          <w:lang w:val="en-GB"/>
        </w:rPr>
        <w:t xml:space="preserve">cross-country analysis </w:t>
      </w:r>
      <w:r>
        <w:rPr>
          <w:lang w:val="en-GB"/>
        </w:rPr>
        <w:t xml:space="preserve">necessitates </w:t>
      </w:r>
      <w:r w:rsidRPr="006833C4">
        <w:rPr>
          <w:lang w:val="en-GB"/>
        </w:rPr>
        <w:t>a high level of abstraction</w:t>
      </w:r>
      <w:r>
        <w:rPr>
          <w:lang w:val="en-GB"/>
        </w:rPr>
        <w:t xml:space="preserve"> and omits numerous relevant factors. Due to this, </w:t>
      </w:r>
      <w:r w:rsidRPr="006833C4">
        <w:rPr>
          <w:lang w:val="en-GB"/>
        </w:rPr>
        <w:t>the</w:t>
      </w:r>
      <w:r>
        <w:rPr>
          <w:lang w:val="en-GB"/>
        </w:rPr>
        <w:t xml:space="preserve"> authors</w:t>
      </w:r>
      <w:r w:rsidRPr="006833C4">
        <w:rPr>
          <w:lang w:val="en-GB"/>
        </w:rPr>
        <w:t xml:space="preserve"> </w:t>
      </w:r>
      <w:r>
        <w:rPr>
          <w:lang w:val="en-GB"/>
        </w:rPr>
        <w:t>departure from the</w:t>
      </w:r>
      <w:r w:rsidRPr="006833C4">
        <w:rPr>
          <w:lang w:val="en-GB"/>
        </w:rPr>
        <w:t xml:space="preserve"> premise</w:t>
      </w:r>
      <w:r>
        <w:rPr>
          <w:lang w:val="en-GB"/>
        </w:rPr>
        <w:t xml:space="preserve"> by Robinson </w:t>
      </w:r>
      <w:r w:rsidRPr="006833C4">
        <w:rPr>
          <w:lang w:val="en-GB"/>
        </w:rPr>
        <w:t xml:space="preserve">(1962, p. </w:t>
      </w:r>
      <w:r w:rsidRPr="006833C4">
        <w:rPr>
          <w:lang w:val="en-GB"/>
        </w:rPr>
        <w:lastRenderedPageBreak/>
        <w:t>33)</w:t>
      </w:r>
      <w:r>
        <w:rPr>
          <w:lang w:val="en-GB"/>
        </w:rPr>
        <w:t xml:space="preserve"> stating that </w:t>
      </w:r>
      <w:r w:rsidRPr="006833C4">
        <w:rPr>
          <w:i/>
          <w:lang w:val="en-GB"/>
        </w:rPr>
        <w:t>“</w:t>
      </w:r>
      <w:r w:rsidRPr="006833C4">
        <w:rPr>
          <w:i/>
          <w:szCs w:val="21"/>
          <w:lang w:val="en-GB"/>
        </w:rPr>
        <w:t>a model which took account of all the variegation of reality would be of no more use than a map at the scale of one to one”</w:t>
      </w:r>
      <w:r w:rsidRPr="006833C4">
        <w:rPr>
          <w:szCs w:val="21"/>
          <w:lang w:val="en-GB"/>
        </w:rPr>
        <w:t xml:space="preserve">. </w:t>
      </w:r>
      <w:r>
        <w:rPr>
          <w:szCs w:val="21"/>
          <w:lang w:val="en-GB"/>
        </w:rPr>
        <w:t>Thus</w:t>
      </w:r>
      <w:r w:rsidRPr="006833C4">
        <w:rPr>
          <w:szCs w:val="21"/>
          <w:lang w:val="en-GB"/>
        </w:rPr>
        <w:t xml:space="preserve">, the </w:t>
      </w:r>
      <w:r>
        <w:rPr>
          <w:szCs w:val="21"/>
          <w:lang w:val="en-GB"/>
        </w:rPr>
        <w:t>aim</w:t>
      </w:r>
      <w:r w:rsidRPr="006833C4">
        <w:rPr>
          <w:szCs w:val="21"/>
          <w:lang w:val="en-GB"/>
        </w:rPr>
        <w:t xml:space="preserve"> of this study is to </w:t>
      </w:r>
      <w:r>
        <w:rPr>
          <w:szCs w:val="21"/>
          <w:lang w:val="en-GB"/>
        </w:rPr>
        <w:t>disclose</w:t>
      </w:r>
      <w:r w:rsidRPr="006833C4">
        <w:rPr>
          <w:szCs w:val="21"/>
          <w:lang w:val="en-GB"/>
        </w:rPr>
        <w:t xml:space="preserve"> the crucial elements constituting the country’s advantages</w:t>
      </w:r>
      <w:r>
        <w:rPr>
          <w:szCs w:val="21"/>
          <w:lang w:val="en-GB"/>
        </w:rPr>
        <w:t>,</w:t>
      </w:r>
      <w:r w:rsidRPr="006833C4">
        <w:rPr>
          <w:szCs w:val="21"/>
          <w:lang w:val="en-GB"/>
        </w:rPr>
        <w:t xml:space="preserve"> enabli</w:t>
      </w:r>
      <w:r>
        <w:rPr>
          <w:szCs w:val="21"/>
          <w:lang w:val="en-GB"/>
        </w:rPr>
        <w:t>ng</w:t>
      </w:r>
      <w:r w:rsidRPr="006833C4">
        <w:rPr>
          <w:szCs w:val="21"/>
          <w:lang w:val="en-GB"/>
        </w:rPr>
        <w:t xml:space="preserve"> them to benefit from the international value transfers. </w:t>
      </w:r>
      <w:r>
        <w:rPr>
          <w:szCs w:val="21"/>
          <w:lang w:val="en-GB"/>
        </w:rPr>
        <w:t>I</w:t>
      </w:r>
      <w:r w:rsidRPr="006833C4">
        <w:rPr>
          <w:szCs w:val="21"/>
          <w:lang w:val="en-GB"/>
        </w:rPr>
        <w:t xml:space="preserve">t </w:t>
      </w:r>
      <w:r>
        <w:rPr>
          <w:szCs w:val="21"/>
          <w:lang w:val="en-GB"/>
        </w:rPr>
        <w:t>bears mentioning</w:t>
      </w:r>
      <w:r w:rsidRPr="006833C4">
        <w:rPr>
          <w:szCs w:val="21"/>
          <w:lang w:val="en-GB"/>
        </w:rPr>
        <w:t xml:space="preserve"> that the </w:t>
      </w:r>
      <w:r>
        <w:rPr>
          <w:szCs w:val="21"/>
          <w:lang w:val="en-GB"/>
        </w:rPr>
        <w:t>enrichment of affluent</w:t>
      </w:r>
      <w:r w:rsidRPr="006833C4">
        <w:rPr>
          <w:szCs w:val="21"/>
          <w:lang w:val="en-GB"/>
        </w:rPr>
        <w:t xml:space="preserve"> countries,</w:t>
      </w:r>
      <w:r w:rsidRPr="006833C4">
        <w:rPr>
          <w:lang w:val="en-GB"/>
        </w:rPr>
        <w:t xml:space="preserve"> by the virtue of the same token, </w:t>
      </w:r>
      <w:r>
        <w:rPr>
          <w:lang w:val="en-GB"/>
        </w:rPr>
        <w:t>is the function of the impoverishment of the majority of other countries</w:t>
      </w:r>
      <w:r w:rsidRPr="006833C4">
        <w:rPr>
          <w:lang w:val="en-GB"/>
        </w:rPr>
        <w:t>.</w:t>
      </w:r>
    </w:p>
    <w:p w14:paraId="7D3E3C82" w14:textId="77777777" w:rsidR="00186CE3" w:rsidRDefault="00186CE3" w:rsidP="00186CE3"/>
    <w:p w14:paraId="57A4427C" w14:textId="77777777" w:rsidR="00186CE3" w:rsidRDefault="00186CE3" w:rsidP="00186CE3">
      <w:pPr>
        <w:jc w:val="both"/>
      </w:pPr>
      <w:r>
        <w:rPr>
          <w:lang w:val="en-GB"/>
        </w:rPr>
        <w:t xml:space="preserve">On these grounds, this study </w:t>
      </w:r>
      <w:r>
        <w:t xml:space="preserve">investigates the Eurozone’s cross-country inequality determinants and their manifestations, accounting for the differences in sectoral and technological compositions across member states. The model is divided into two general forms, where suffix “a” represents the sectoral and suffix “b” the technological composition of a given country. The following equations, where </w:t>
      </w:r>
      <m:oMath>
        <m:r>
          <w:rPr>
            <w:rFonts w:ascii="Cambria Math" w:hAnsi="Cambria Math"/>
          </w:rPr>
          <m:t>i</m:t>
        </m:r>
      </m:oMath>
      <w:r>
        <w:t xml:space="preserve"> denotes country and </w:t>
      </w:r>
      <m:oMath>
        <m:r>
          <w:rPr>
            <w:rFonts w:ascii="Cambria Math" w:hAnsi="Cambria Math"/>
          </w:rPr>
          <m:t>t</m:t>
        </m:r>
      </m:oMath>
      <w:r>
        <w:t xml:space="preserve"> denotes year, lay out the particularities of these hypothesized effects:</w:t>
      </w:r>
    </w:p>
    <w:p w14:paraId="53976CC8" w14:textId="77777777" w:rsidR="00186CE3" w:rsidRDefault="00186CE3" w:rsidP="00186CE3">
      <w:pPr>
        <w:jc w:val="both"/>
      </w:pPr>
    </w:p>
    <w:p w14:paraId="73351769" w14:textId="538410BD" w:rsidR="00186CE3" w:rsidRDefault="00186CE3" w:rsidP="00186CE3">
      <w:pPr>
        <w:ind w:left="1440" w:hanging="1440"/>
        <w:jc w:val="both"/>
      </w:pPr>
      <w:r w:rsidRPr="0088669F">
        <w:rPr>
          <w:b/>
        </w:rPr>
        <w:t>Model 1a</w:t>
      </w:r>
      <w:r>
        <w:tab/>
        <w:t xml:space="preserve">Price effect = </w:t>
      </w:r>
      <w:r>
        <w:tab/>
        <w:t>f(</w:t>
      </w:r>
      <w:proofErr w:type="spellStart"/>
      <w:r>
        <w:t>logGDP</w:t>
      </w:r>
      <w:r>
        <w:rPr>
          <w:vertAlign w:val="subscript"/>
        </w:rPr>
        <w:t>it</w:t>
      </w:r>
      <w:proofErr w:type="spellEnd"/>
      <w:r>
        <w:t xml:space="preserve">, </w:t>
      </w:r>
      <w:proofErr w:type="spellStart"/>
      <w:r>
        <w:t>logGDPp</w:t>
      </w:r>
      <w:proofErr w:type="spellEnd"/>
      <w:r>
        <w:t>/</w:t>
      </w:r>
      <w:proofErr w:type="spellStart"/>
      <w:r>
        <w:t>c</w:t>
      </w:r>
      <w:r>
        <w:rPr>
          <w:vertAlign w:val="subscript"/>
        </w:rPr>
        <w:t>it</w:t>
      </w:r>
      <w:proofErr w:type="spellEnd"/>
      <w:r>
        <w:t xml:space="preserve">, </w:t>
      </w:r>
      <w:proofErr w:type="spellStart"/>
      <w:r>
        <w:t>logK</w:t>
      </w:r>
      <w:proofErr w:type="spellEnd"/>
      <w:r>
        <w:t>/L</w:t>
      </w:r>
      <w:r>
        <w:rPr>
          <w:vertAlign w:val="subscript"/>
        </w:rPr>
        <w:t>it</w:t>
      </w:r>
      <w:r>
        <w:t xml:space="preserve">, </w:t>
      </w:r>
      <w:proofErr w:type="spellStart"/>
      <w:r>
        <w:t>Agriculture</w:t>
      </w:r>
      <w:r>
        <w:rPr>
          <w:vertAlign w:val="subscript"/>
        </w:rPr>
        <w:t>it</w:t>
      </w:r>
      <w:proofErr w:type="spellEnd"/>
      <w:r>
        <w:t>,</w:t>
      </w:r>
      <w:r w:rsidRPr="00C44396">
        <w:rPr>
          <w:rFonts w:eastAsiaTheme="minorEastAsia"/>
          <w:lang w:val="en-GB"/>
        </w:rPr>
        <w:t xml:space="preserve"> </w:t>
      </w:r>
      <w:r>
        <w:rPr>
          <w:rFonts w:eastAsiaTheme="minorEastAsia"/>
          <w:lang w:val="en-GB"/>
        </w:rPr>
        <w:t xml:space="preserve">                    </w:t>
      </w:r>
      <w:r w:rsidRPr="006833C4">
        <w:rPr>
          <w:rFonts w:eastAsiaTheme="minorEastAsia"/>
          <w:lang w:val="en-GB"/>
        </w:rPr>
        <w:t>(</w:t>
      </w:r>
      <w:r>
        <w:rPr>
          <w:rFonts w:eastAsiaTheme="minorEastAsia"/>
          <w:lang w:val="en-GB"/>
        </w:rPr>
        <w:t>5</w:t>
      </w:r>
      <w:r w:rsidRPr="006833C4">
        <w:rPr>
          <w:rFonts w:eastAsiaTheme="minorEastAsia"/>
          <w:lang w:val="en-GB"/>
        </w:rPr>
        <w:t>)</w:t>
      </w:r>
    </w:p>
    <w:p w14:paraId="56D0006B" w14:textId="77777777" w:rsidR="00186CE3" w:rsidRDefault="00186CE3" w:rsidP="00186CE3">
      <w:pPr>
        <w:ind w:left="2160" w:firstLine="720"/>
        <w:jc w:val="both"/>
      </w:pPr>
      <w:proofErr w:type="spellStart"/>
      <w:r>
        <w:t>Manufacturing</w:t>
      </w:r>
      <w:r>
        <w:rPr>
          <w:vertAlign w:val="subscript"/>
        </w:rPr>
        <w:t>it</w:t>
      </w:r>
      <w:proofErr w:type="spellEnd"/>
      <w:r>
        <w:t xml:space="preserve">, </w:t>
      </w:r>
      <w:proofErr w:type="spellStart"/>
      <w:r>
        <w:t>Construction</w:t>
      </w:r>
      <w:r>
        <w:rPr>
          <w:vertAlign w:val="subscript"/>
        </w:rPr>
        <w:t>it</w:t>
      </w:r>
      <w:proofErr w:type="spellEnd"/>
      <w:r>
        <w:t xml:space="preserve"> , </w:t>
      </w:r>
      <w:proofErr w:type="spellStart"/>
      <w:r>
        <w:t>Services</w:t>
      </w:r>
      <w:r>
        <w:rPr>
          <w:vertAlign w:val="subscript"/>
        </w:rPr>
        <w:t>it</w:t>
      </w:r>
      <w:proofErr w:type="spellEnd"/>
      <w:r>
        <w:t xml:space="preserve">, </w:t>
      </w:r>
    </w:p>
    <w:p w14:paraId="04ACEAA8" w14:textId="77777777" w:rsidR="00186CE3" w:rsidRDefault="00186CE3" w:rsidP="00186CE3">
      <w:pPr>
        <w:ind w:left="2160" w:firstLine="720"/>
        <w:jc w:val="both"/>
      </w:pPr>
      <w:proofErr w:type="spellStart"/>
      <w:r>
        <w:t>Public</w:t>
      </w:r>
      <w:r>
        <w:rPr>
          <w:vertAlign w:val="subscript"/>
        </w:rPr>
        <w:t>it</w:t>
      </w:r>
      <w:proofErr w:type="spellEnd"/>
      <w:r>
        <w:t xml:space="preserve">, </w:t>
      </w:r>
      <m:oMath>
        <m:sSub>
          <m:sSubPr>
            <m:ctrlPr>
              <w:rPr>
                <w:rFonts w:ascii="Cambria Math" w:hAnsi="Cambria Math"/>
                <w:i/>
              </w:rPr>
            </m:ctrlPr>
          </m:sSubPr>
          <m:e>
            <m:r>
              <w:rPr>
                <w:rFonts w:ascii="Cambria Math" w:hAnsi="Cambria Math"/>
              </w:rPr>
              <m:t>ε</m:t>
            </m:r>
          </m:e>
          <m:sub>
            <m:r>
              <w:rPr>
                <w:rFonts w:ascii="Cambria Math" w:hAnsi="Cambria Math"/>
              </w:rPr>
              <m:t>it</m:t>
            </m:r>
          </m:sub>
        </m:sSub>
      </m:oMath>
      <w:r>
        <w:t>)</w:t>
      </w:r>
    </w:p>
    <w:p w14:paraId="78B2E414" w14:textId="77777777" w:rsidR="00186CE3" w:rsidRDefault="00186CE3" w:rsidP="00186CE3">
      <w:pPr>
        <w:jc w:val="both"/>
      </w:pPr>
    </w:p>
    <w:p w14:paraId="01E4C430" w14:textId="76405D8A" w:rsidR="00186CE3" w:rsidRDefault="00186CE3" w:rsidP="00186CE3">
      <w:pPr>
        <w:ind w:left="1440" w:hanging="1440"/>
        <w:jc w:val="both"/>
      </w:pPr>
      <w:r w:rsidRPr="00843F00">
        <w:rPr>
          <w:b/>
        </w:rPr>
        <w:t>Model 1b</w:t>
      </w:r>
      <w:r>
        <w:tab/>
        <w:t xml:space="preserve">Price effect = </w:t>
      </w:r>
      <w:r>
        <w:tab/>
        <w:t>f(</w:t>
      </w:r>
      <w:proofErr w:type="spellStart"/>
      <w:r>
        <w:t>logGDP</w:t>
      </w:r>
      <w:r>
        <w:rPr>
          <w:vertAlign w:val="subscript"/>
        </w:rPr>
        <w:t>it</w:t>
      </w:r>
      <w:proofErr w:type="spellEnd"/>
      <w:r>
        <w:t xml:space="preserve">, </w:t>
      </w:r>
      <w:proofErr w:type="spellStart"/>
      <w:r>
        <w:t>logGDPp</w:t>
      </w:r>
      <w:proofErr w:type="spellEnd"/>
      <w:r>
        <w:t>/</w:t>
      </w:r>
      <w:proofErr w:type="spellStart"/>
      <w:r>
        <w:t>c</w:t>
      </w:r>
      <w:r>
        <w:rPr>
          <w:vertAlign w:val="subscript"/>
        </w:rPr>
        <w:t>it</w:t>
      </w:r>
      <w:proofErr w:type="spellEnd"/>
      <w:r>
        <w:t xml:space="preserve">, </w:t>
      </w:r>
      <w:proofErr w:type="spellStart"/>
      <w:r>
        <w:t>logK</w:t>
      </w:r>
      <w:proofErr w:type="spellEnd"/>
      <w:r>
        <w:t>/L</w:t>
      </w:r>
      <w:r>
        <w:rPr>
          <w:vertAlign w:val="subscript"/>
        </w:rPr>
        <w:t>it</w:t>
      </w:r>
      <w:r>
        <w:t>, High-</w:t>
      </w:r>
      <w:proofErr w:type="spellStart"/>
      <w:r>
        <w:t>tech</w:t>
      </w:r>
      <w:r>
        <w:rPr>
          <w:vertAlign w:val="subscript"/>
        </w:rPr>
        <w:t>it</w:t>
      </w:r>
      <w:proofErr w:type="spellEnd"/>
      <w:r>
        <w:t>,</w:t>
      </w:r>
      <w:r w:rsidRPr="00C44396">
        <w:rPr>
          <w:rFonts w:eastAsiaTheme="minorEastAsia"/>
          <w:lang w:val="en-GB"/>
        </w:rPr>
        <w:t xml:space="preserve"> </w:t>
      </w:r>
      <w:r>
        <w:rPr>
          <w:rFonts w:eastAsiaTheme="minorEastAsia"/>
          <w:lang w:val="en-GB"/>
        </w:rPr>
        <w:t xml:space="preserve">                       </w:t>
      </w:r>
      <w:r w:rsidRPr="006833C4">
        <w:rPr>
          <w:rFonts w:eastAsiaTheme="minorEastAsia"/>
          <w:lang w:val="en-GB"/>
        </w:rPr>
        <w:t>(</w:t>
      </w:r>
      <w:r>
        <w:rPr>
          <w:rFonts w:eastAsiaTheme="minorEastAsia"/>
          <w:lang w:val="en-GB"/>
        </w:rPr>
        <w:t>6</w:t>
      </w:r>
      <w:r w:rsidRPr="006833C4">
        <w:rPr>
          <w:rFonts w:eastAsiaTheme="minorEastAsia"/>
          <w:lang w:val="en-GB"/>
        </w:rPr>
        <w:t>)</w:t>
      </w:r>
    </w:p>
    <w:p w14:paraId="40470EB9" w14:textId="77777777" w:rsidR="00186CE3" w:rsidRDefault="00186CE3" w:rsidP="00186CE3">
      <w:pPr>
        <w:ind w:left="2160" w:firstLine="720"/>
        <w:jc w:val="both"/>
      </w:pPr>
      <w:r>
        <w:t>Medium-</w:t>
      </w:r>
      <w:proofErr w:type="spellStart"/>
      <w:r>
        <w:t>tech</w:t>
      </w:r>
      <w:r>
        <w:rPr>
          <w:vertAlign w:val="subscript"/>
        </w:rPr>
        <w:t>it</w:t>
      </w:r>
      <w:proofErr w:type="spellEnd"/>
      <w:r>
        <w:t>, Low-</w:t>
      </w:r>
      <w:proofErr w:type="spellStart"/>
      <w:r>
        <w:t>tech</w:t>
      </w:r>
      <w:r>
        <w:rPr>
          <w:vertAlign w:val="subscript"/>
        </w:rPr>
        <w:t>it</w:t>
      </w:r>
      <w:proofErr w:type="spellEnd"/>
      <w:r>
        <w:t xml:space="preserve">, </w:t>
      </w:r>
      <m:oMath>
        <m:sSub>
          <m:sSubPr>
            <m:ctrlPr>
              <w:rPr>
                <w:rFonts w:ascii="Cambria Math" w:hAnsi="Cambria Math"/>
                <w:i/>
              </w:rPr>
            </m:ctrlPr>
          </m:sSubPr>
          <m:e>
            <m:r>
              <w:rPr>
                <w:rFonts w:ascii="Cambria Math" w:hAnsi="Cambria Math"/>
              </w:rPr>
              <m:t>ε</m:t>
            </m:r>
          </m:e>
          <m:sub>
            <m:r>
              <w:rPr>
                <w:rFonts w:ascii="Cambria Math" w:hAnsi="Cambria Math"/>
              </w:rPr>
              <m:t>it</m:t>
            </m:r>
          </m:sub>
        </m:sSub>
      </m:oMath>
      <w:r>
        <w:t>)</w:t>
      </w:r>
    </w:p>
    <w:p w14:paraId="010CAC46" w14:textId="77777777" w:rsidR="00186CE3" w:rsidRDefault="00186CE3" w:rsidP="00186CE3">
      <w:pPr>
        <w:jc w:val="both"/>
      </w:pPr>
    </w:p>
    <w:p w14:paraId="5E39B479" w14:textId="3509934D" w:rsidR="00186CE3" w:rsidRDefault="00186CE3" w:rsidP="00186CE3">
      <w:pPr>
        <w:ind w:left="1440" w:hanging="1440"/>
        <w:jc w:val="both"/>
      </w:pPr>
      <w:r w:rsidRPr="00843F00">
        <w:rPr>
          <w:b/>
        </w:rPr>
        <w:t>Model 2a</w:t>
      </w:r>
      <w:r>
        <w:tab/>
        <w:t xml:space="preserve">Efficiency effect = </w:t>
      </w:r>
      <w:r>
        <w:tab/>
        <w:t>f(</w:t>
      </w:r>
      <w:proofErr w:type="spellStart"/>
      <w:r>
        <w:t>logGDP</w:t>
      </w:r>
      <w:r>
        <w:rPr>
          <w:vertAlign w:val="subscript"/>
        </w:rPr>
        <w:t>it</w:t>
      </w:r>
      <w:proofErr w:type="spellEnd"/>
      <w:r>
        <w:t xml:space="preserve">, </w:t>
      </w:r>
      <w:proofErr w:type="spellStart"/>
      <w:r>
        <w:t>logGDPp</w:t>
      </w:r>
      <w:proofErr w:type="spellEnd"/>
      <w:r>
        <w:t>/</w:t>
      </w:r>
      <w:proofErr w:type="spellStart"/>
      <w:r>
        <w:t>c</w:t>
      </w:r>
      <w:r>
        <w:rPr>
          <w:vertAlign w:val="subscript"/>
        </w:rPr>
        <w:t>it</w:t>
      </w:r>
      <w:proofErr w:type="spellEnd"/>
      <w:r>
        <w:t xml:space="preserve">, </w:t>
      </w:r>
      <w:proofErr w:type="spellStart"/>
      <w:r>
        <w:t>logK</w:t>
      </w:r>
      <w:proofErr w:type="spellEnd"/>
      <w:r>
        <w:t>/L</w:t>
      </w:r>
      <w:r>
        <w:rPr>
          <w:vertAlign w:val="subscript"/>
        </w:rPr>
        <w:t>it</w:t>
      </w:r>
      <w:r>
        <w:t xml:space="preserve">, </w:t>
      </w:r>
      <w:proofErr w:type="spellStart"/>
      <w:r>
        <w:t>Agriculture</w:t>
      </w:r>
      <w:r>
        <w:rPr>
          <w:vertAlign w:val="subscript"/>
        </w:rPr>
        <w:t>it</w:t>
      </w:r>
      <w:proofErr w:type="spellEnd"/>
      <w:r>
        <w:t>,</w:t>
      </w:r>
      <w:r w:rsidRPr="00C44396">
        <w:rPr>
          <w:rFonts w:eastAsiaTheme="minorEastAsia"/>
          <w:lang w:val="en-GB"/>
        </w:rPr>
        <w:t xml:space="preserve"> </w:t>
      </w:r>
      <w:r>
        <w:rPr>
          <w:rFonts w:eastAsiaTheme="minorEastAsia"/>
          <w:lang w:val="en-GB"/>
        </w:rPr>
        <w:t xml:space="preserve">        </w:t>
      </w:r>
      <w:r w:rsidRPr="006833C4">
        <w:rPr>
          <w:rFonts w:eastAsiaTheme="minorEastAsia"/>
          <w:lang w:val="en-GB"/>
        </w:rPr>
        <w:t>(</w:t>
      </w:r>
      <w:r>
        <w:rPr>
          <w:rFonts w:eastAsiaTheme="minorEastAsia"/>
          <w:lang w:val="en-GB"/>
        </w:rPr>
        <w:t>7</w:t>
      </w:r>
      <w:r w:rsidRPr="006833C4">
        <w:rPr>
          <w:rFonts w:eastAsiaTheme="minorEastAsia"/>
          <w:lang w:val="en-GB"/>
        </w:rPr>
        <w:t>)</w:t>
      </w:r>
    </w:p>
    <w:p w14:paraId="66CD64E4" w14:textId="77777777" w:rsidR="00186CE3" w:rsidRDefault="00186CE3" w:rsidP="00186CE3">
      <w:pPr>
        <w:ind w:left="2880" w:firstLine="720"/>
        <w:jc w:val="both"/>
      </w:pPr>
      <w:proofErr w:type="spellStart"/>
      <w:r>
        <w:t>Manufacturing</w:t>
      </w:r>
      <w:r>
        <w:rPr>
          <w:vertAlign w:val="subscript"/>
        </w:rPr>
        <w:t>it</w:t>
      </w:r>
      <w:proofErr w:type="spellEnd"/>
      <w:r>
        <w:t xml:space="preserve">, </w:t>
      </w:r>
      <w:proofErr w:type="spellStart"/>
      <w:r>
        <w:t>Construction</w:t>
      </w:r>
      <w:r>
        <w:rPr>
          <w:vertAlign w:val="subscript"/>
        </w:rPr>
        <w:t>it</w:t>
      </w:r>
      <w:proofErr w:type="spellEnd"/>
      <w:r>
        <w:t xml:space="preserve"> , </w:t>
      </w:r>
      <w:proofErr w:type="spellStart"/>
      <w:r>
        <w:t>Services</w:t>
      </w:r>
      <w:r>
        <w:rPr>
          <w:vertAlign w:val="subscript"/>
        </w:rPr>
        <w:t>it</w:t>
      </w:r>
      <w:proofErr w:type="spellEnd"/>
      <w:r>
        <w:t xml:space="preserve">, </w:t>
      </w:r>
    </w:p>
    <w:p w14:paraId="70A46973" w14:textId="77777777" w:rsidR="00186CE3" w:rsidRDefault="00186CE3" w:rsidP="00186CE3">
      <w:pPr>
        <w:ind w:left="2880" w:firstLine="720"/>
        <w:jc w:val="both"/>
      </w:pPr>
      <w:proofErr w:type="spellStart"/>
      <w:r>
        <w:t>Public</w:t>
      </w:r>
      <w:r>
        <w:rPr>
          <w:vertAlign w:val="subscript"/>
        </w:rPr>
        <w:t>it</w:t>
      </w:r>
      <w:proofErr w:type="spellEnd"/>
      <w:r>
        <w:t xml:space="preserve">, </w:t>
      </w:r>
      <m:oMath>
        <m:sSub>
          <m:sSubPr>
            <m:ctrlPr>
              <w:rPr>
                <w:rFonts w:ascii="Cambria Math" w:hAnsi="Cambria Math"/>
                <w:i/>
              </w:rPr>
            </m:ctrlPr>
          </m:sSubPr>
          <m:e>
            <m:r>
              <w:rPr>
                <w:rFonts w:ascii="Cambria Math" w:hAnsi="Cambria Math"/>
              </w:rPr>
              <m:t>ε</m:t>
            </m:r>
          </m:e>
          <m:sub>
            <m:r>
              <w:rPr>
                <w:rFonts w:ascii="Cambria Math" w:hAnsi="Cambria Math"/>
              </w:rPr>
              <m:t>it</m:t>
            </m:r>
          </m:sub>
        </m:sSub>
      </m:oMath>
      <w:r>
        <w:t>)</w:t>
      </w:r>
    </w:p>
    <w:p w14:paraId="6E6E4CD2" w14:textId="77777777" w:rsidR="00186CE3" w:rsidRDefault="00186CE3" w:rsidP="00186CE3">
      <w:pPr>
        <w:ind w:left="1440" w:hanging="1440"/>
        <w:jc w:val="both"/>
      </w:pPr>
    </w:p>
    <w:p w14:paraId="188611CC" w14:textId="5368421F" w:rsidR="00186CE3" w:rsidRDefault="00186CE3" w:rsidP="00186CE3">
      <w:pPr>
        <w:ind w:left="1440" w:hanging="1440"/>
        <w:jc w:val="both"/>
      </w:pPr>
      <w:r w:rsidRPr="00843F00">
        <w:rPr>
          <w:b/>
        </w:rPr>
        <w:t>Model 2b</w:t>
      </w:r>
      <w:r>
        <w:tab/>
        <w:t xml:space="preserve">Efficiency effect = </w:t>
      </w:r>
      <w:r>
        <w:tab/>
        <w:t>f(</w:t>
      </w:r>
      <w:proofErr w:type="spellStart"/>
      <w:r>
        <w:t>logGDP</w:t>
      </w:r>
      <w:r>
        <w:rPr>
          <w:vertAlign w:val="subscript"/>
        </w:rPr>
        <w:t>it</w:t>
      </w:r>
      <w:proofErr w:type="spellEnd"/>
      <w:r>
        <w:t xml:space="preserve">, </w:t>
      </w:r>
      <w:proofErr w:type="spellStart"/>
      <w:r>
        <w:t>logGDPp</w:t>
      </w:r>
      <w:proofErr w:type="spellEnd"/>
      <w:r>
        <w:t>/</w:t>
      </w:r>
      <w:proofErr w:type="spellStart"/>
      <w:r>
        <w:t>c</w:t>
      </w:r>
      <w:r>
        <w:rPr>
          <w:vertAlign w:val="subscript"/>
        </w:rPr>
        <w:t>it</w:t>
      </w:r>
      <w:proofErr w:type="spellEnd"/>
      <w:r>
        <w:t xml:space="preserve">, </w:t>
      </w:r>
      <w:proofErr w:type="spellStart"/>
      <w:r>
        <w:t>logK</w:t>
      </w:r>
      <w:proofErr w:type="spellEnd"/>
      <w:r>
        <w:t>/L</w:t>
      </w:r>
      <w:r>
        <w:rPr>
          <w:vertAlign w:val="subscript"/>
        </w:rPr>
        <w:t>it</w:t>
      </w:r>
      <w:r>
        <w:t>, High-</w:t>
      </w:r>
      <w:proofErr w:type="spellStart"/>
      <w:r>
        <w:t>tech</w:t>
      </w:r>
      <w:r>
        <w:rPr>
          <w:vertAlign w:val="subscript"/>
        </w:rPr>
        <w:t>it</w:t>
      </w:r>
      <w:proofErr w:type="spellEnd"/>
      <w:r>
        <w:t>,</w:t>
      </w:r>
      <w:r w:rsidRPr="00C44396">
        <w:rPr>
          <w:rFonts w:eastAsiaTheme="minorEastAsia"/>
          <w:lang w:val="en-GB"/>
        </w:rPr>
        <w:t xml:space="preserve"> </w:t>
      </w:r>
      <w:r>
        <w:rPr>
          <w:rFonts w:eastAsiaTheme="minorEastAsia"/>
          <w:lang w:val="en-GB"/>
        </w:rPr>
        <w:t xml:space="preserve">           </w:t>
      </w:r>
      <w:r w:rsidRPr="006833C4">
        <w:rPr>
          <w:rFonts w:eastAsiaTheme="minorEastAsia"/>
          <w:lang w:val="en-GB"/>
        </w:rPr>
        <w:t>(</w:t>
      </w:r>
      <w:r>
        <w:rPr>
          <w:rFonts w:eastAsiaTheme="minorEastAsia"/>
          <w:lang w:val="en-GB"/>
        </w:rPr>
        <w:t>8</w:t>
      </w:r>
      <w:r w:rsidRPr="006833C4">
        <w:rPr>
          <w:rFonts w:eastAsiaTheme="minorEastAsia"/>
          <w:lang w:val="en-GB"/>
        </w:rPr>
        <w:t>)</w:t>
      </w:r>
    </w:p>
    <w:p w14:paraId="6A657C2C" w14:textId="77777777" w:rsidR="00186CE3" w:rsidRDefault="00186CE3" w:rsidP="00186CE3">
      <w:pPr>
        <w:ind w:left="2880" w:firstLine="720"/>
        <w:jc w:val="both"/>
      </w:pPr>
      <w:r>
        <w:t>Medium-</w:t>
      </w:r>
      <w:proofErr w:type="spellStart"/>
      <w:r>
        <w:t>tech</w:t>
      </w:r>
      <w:r>
        <w:rPr>
          <w:vertAlign w:val="subscript"/>
        </w:rPr>
        <w:t>it</w:t>
      </w:r>
      <w:proofErr w:type="spellEnd"/>
      <w:r>
        <w:t>, Low-</w:t>
      </w:r>
      <w:proofErr w:type="spellStart"/>
      <w:r>
        <w:t>tech</w:t>
      </w:r>
      <w:r>
        <w:rPr>
          <w:vertAlign w:val="subscript"/>
        </w:rPr>
        <w:t>it</w:t>
      </w:r>
      <w:proofErr w:type="spellEnd"/>
      <w:r>
        <w:t xml:space="preserve">, </w:t>
      </w:r>
      <m:oMath>
        <m:sSub>
          <m:sSubPr>
            <m:ctrlPr>
              <w:rPr>
                <w:rFonts w:ascii="Cambria Math" w:hAnsi="Cambria Math"/>
                <w:i/>
              </w:rPr>
            </m:ctrlPr>
          </m:sSubPr>
          <m:e>
            <m:r>
              <w:rPr>
                <w:rFonts w:ascii="Cambria Math" w:hAnsi="Cambria Math"/>
              </w:rPr>
              <m:t>ε</m:t>
            </m:r>
          </m:e>
          <m:sub>
            <m:r>
              <w:rPr>
                <w:rFonts w:ascii="Cambria Math" w:hAnsi="Cambria Math"/>
              </w:rPr>
              <m:t>it</m:t>
            </m:r>
          </m:sub>
        </m:sSub>
      </m:oMath>
      <w:r>
        <w:t>)</w:t>
      </w:r>
    </w:p>
    <w:p w14:paraId="5259A59C" w14:textId="77777777" w:rsidR="00186CE3" w:rsidRDefault="00186CE3" w:rsidP="00186CE3">
      <w:pPr>
        <w:jc w:val="both"/>
      </w:pPr>
    </w:p>
    <w:p w14:paraId="543334A7" w14:textId="6A02D9CA" w:rsidR="00186CE3" w:rsidRDefault="00186CE3" w:rsidP="00186CE3">
      <w:pPr>
        <w:ind w:left="1440" w:hanging="1440"/>
        <w:jc w:val="both"/>
      </w:pPr>
      <w:r w:rsidRPr="00843F00">
        <w:rPr>
          <w:b/>
        </w:rPr>
        <w:t>Model 3a</w:t>
      </w:r>
      <w:r>
        <w:tab/>
      </w:r>
      <w:r w:rsidRPr="00A029EC">
        <w:rPr>
          <w:lang w:val="en-GB"/>
        </w:rPr>
        <w:t>Labour</w:t>
      </w:r>
      <w:r>
        <w:t xml:space="preserve"> recognition = </w:t>
      </w:r>
      <w:r>
        <w:tab/>
        <w:t>f(</w:t>
      </w:r>
      <w:proofErr w:type="spellStart"/>
      <w:r>
        <w:t>logGDP</w:t>
      </w:r>
      <w:r>
        <w:rPr>
          <w:vertAlign w:val="subscript"/>
        </w:rPr>
        <w:t>it</w:t>
      </w:r>
      <w:proofErr w:type="spellEnd"/>
      <w:r>
        <w:t xml:space="preserve">, </w:t>
      </w:r>
      <w:proofErr w:type="spellStart"/>
      <w:r>
        <w:t>logGDPp</w:t>
      </w:r>
      <w:proofErr w:type="spellEnd"/>
      <w:r>
        <w:t>/</w:t>
      </w:r>
      <w:proofErr w:type="spellStart"/>
      <w:r>
        <w:t>c</w:t>
      </w:r>
      <w:r>
        <w:rPr>
          <w:vertAlign w:val="subscript"/>
        </w:rPr>
        <w:t>it</w:t>
      </w:r>
      <w:proofErr w:type="spellEnd"/>
      <w:r>
        <w:t xml:space="preserve">, </w:t>
      </w:r>
      <w:proofErr w:type="spellStart"/>
      <w:r>
        <w:t>logK</w:t>
      </w:r>
      <w:proofErr w:type="spellEnd"/>
      <w:r>
        <w:t>/L</w:t>
      </w:r>
      <w:r>
        <w:rPr>
          <w:vertAlign w:val="subscript"/>
        </w:rPr>
        <w:t>it</w:t>
      </w:r>
      <w:r>
        <w:t xml:space="preserve">, </w:t>
      </w:r>
      <w:proofErr w:type="spellStart"/>
      <w:r>
        <w:t>Agriculture</w:t>
      </w:r>
      <w:r>
        <w:rPr>
          <w:vertAlign w:val="subscript"/>
        </w:rPr>
        <w:t>it</w:t>
      </w:r>
      <w:proofErr w:type="spellEnd"/>
      <w:r>
        <w:t>,</w:t>
      </w:r>
      <w:r w:rsidRPr="00C44396">
        <w:rPr>
          <w:rFonts w:eastAsiaTheme="minorEastAsia"/>
          <w:lang w:val="en-GB"/>
        </w:rPr>
        <w:t xml:space="preserve"> </w:t>
      </w:r>
      <w:r>
        <w:rPr>
          <w:rFonts w:eastAsiaTheme="minorEastAsia"/>
          <w:lang w:val="en-GB"/>
        </w:rPr>
        <w:t xml:space="preserve">        </w:t>
      </w:r>
      <w:r w:rsidRPr="006833C4">
        <w:rPr>
          <w:rFonts w:eastAsiaTheme="minorEastAsia"/>
          <w:lang w:val="en-GB"/>
        </w:rPr>
        <w:t>(</w:t>
      </w:r>
      <w:r>
        <w:rPr>
          <w:rFonts w:eastAsiaTheme="minorEastAsia"/>
          <w:lang w:val="en-GB"/>
        </w:rPr>
        <w:t>9</w:t>
      </w:r>
      <w:r w:rsidRPr="006833C4">
        <w:rPr>
          <w:rFonts w:eastAsiaTheme="minorEastAsia"/>
          <w:lang w:val="en-GB"/>
        </w:rPr>
        <w:t>)</w:t>
      </w:r>
    </w:p>
    <w:p w14:paraId="4B77C27C" w14:textId="77777777" w:rsidR="00186CE3" w:rsidRDefault="00186CE3" w:rsidP="00186CE3">
      <w:pPr>
        <w:ind w:left="2880" w:firstLine="720"/>
        <w:jc w:val="both"/>
      </w:pPr>
      <w:proofErr w:type="spellStart"/>
      <w:r>
        <w:t>Manufacturing</w:t>
      </w:r>
      <w:r>
        <w:rPr>
          <w:vertAlign w:val="subscript"/>
        </w:rPr>
        <w:t>it</w:t>
      </w:r>
      <w:proofErr w:type="spellEnd"/>
      <w:r>
        <w:t xml:space="preserve">, </w:t>
      </w:r>
      <w:proofErr w:type="spellStart"/>
      <w:r>
        <w:t>Construction</w:t>
      </w:r>
      <w:r>
        <w:rPr>
          <w:vertAlign w:val="subscript"/>
        </w:rPr>
        <w:t>it</w:t>
      </w:r>
      <w:proofErr w:type="spellEnd"/>
      <w:r>
        <w:t xml:space="preserve"> , </w:t>
      </w:r>
      <w:proofErr w:type="spellStart"/>
      <w:r>
        <w:t>Services</w:t>
      </w:r>
      <w:r>
        <w:rPr>
          <w:vertAlign w:val="subscript"/>
        </w:rPr>
        <w:t>it</w:t>
      </w:r>
      <w:proofErr w:type="spellEnd"/>
      <w:r>
        <w:t xml:space="preserve">, </w:t>
      </w:r>
    </w:p>
    <w:p w14:paraId="4C6CE464" w14:textId="77777777" w:rsidR="00186CE3" w:rsidRDefault="00186CE3" w:rsidP="00186CE3">
      <w:pPr>
        <w:ind w:left="2880" w:firstLine="720"/>
        <w:jc w:val="both"/>
      </w:pPr>
      <w:proofErr w:type="spellStart"/>
      <w:r>
        <w:t>Public</w:t>
      </w:r>
      <w:r>
        <w:rPr>
          <w:vertAlign w:val="subscript"/>
        </w:rPr>
        <w:t>it</w:t>
      </w:r>
      <w:proofErr w:type="spellEnd"/>
      <w:r>
        <w:t xml:space="preserve">, </w:t>
      </w:r>
      <m:oMath>
        <m:sSub>
          <m:sSubPr>
            <m:ctrlPr>
              <w:rPr>
                <w:rFonts w:ascii="Cambria Math" w:hAnsi="Cambria Math"/>
                <w:i/>
              </w:rPr>
            </m:ctrlPr>
          </m:sSubPr>
          <m:e>
            <m:r>
              <w:rPr>
                <w:rFonts w:ascii="Cambria Math" w:hAnsi="Cambria Math"/>
              </w:rPr>
              <m:t>ε</m:t>
            </m:r>
          </m:e>
          <m:sub>
            <m:r>
              <w:rPr>
                <w:rFonts w:ascii="Cambria Math" w:hAnsi="Cambria Math"/>
              </w:rPr>
              <m:t>it</m:t>
            </m:r>
          </m:sub>
        </m:sSub>
      </m:oMath>
      <w:r>
        <w:t>)</w:t>
      </w:r>
    </w:p>
    <w:p w14:paraId="0882A5E6" w14:textId="77777777" w:rsidR="00186CE3" w:rsidRDefault="00186CE3" w:rsidP="00186CE3">
      <w:pPr>
        <w:jc w:val="both"/>
      </w:pPr>
    </w:p>
    <w:p w14:paraId="17232CAB" w14:textId="16629D03" w:rsidR="00186CE3" w:rsidRDefault="00186CE3" w:rsidP="00186CE3">
      <w:pPr>
        <w:ind w:left="1440" w:hanging="1440"/>
        <w:jc w:val="both"/>
      </w:pPr>
      <w:r w:rsidRPr="00843F00">
        <w:rPr>
          <w:b/>
        </w:rPr>
        <w:t>Model 3b</w:t>
      </w:r>
      <w:r>
        <w:tab/>
      </w:r>
      <w:r w:rsidRPr="00A029EC">
        <w:rPr>
          <w:lang w:val="en-GB"/>
        </w:rPr>
        <w:t>Labour</w:t>
      </w:r>
      <w:r>
        <w:t xml:space="preserve"> recognition = </w:t>
      </w:r>
      <w:r>
        <w:tab/>
        <w:t>f(</w:t>
      </w:r>
      <w:proofErr w:type="spellStart"/>
      <w:r>
        <w:t>logGDP</w:t>
      </w:r>
      <w:r>
        <w:rPr>
          <w:vertAlign w:val="subscript"/>
        </w:rPr>
        <w:t>it</w:t>
      </w:r>
      <w:proofErr w:type="spellEnd"/>
      <w:r>
        <w:t xml:space="preserve">, </w:t>
      </w:r>
      <w:proofErr w:type="spellStart"/>
      <w:r>
        <w:t>logGDPp</w:t>
      </w:r>
      <w:proofErr w:type="spellEnd"/>
      <w:r>
        <w:t>/</w:t>
      </w:r>
      <w:proofErr w:type="spellStart"/>
      <w:r>
        <w:t>c</w:t>
      </w:r>
      <w:r>
        <w:rPr>
          <w:vertAlign w:val="subscript"/>
        </w:rPr>
        <w:t>it</w:t>
      </w:r>
      <w:proofErr w:type="spellEnd"/>
      <w:r>
        <w:t xml:space="preserve">, </w:t>
      </w:r>
      <w:proofErr w:type="spellStart"/>
      <w:r>
        <w:t>logK</w:t>
      </w:r>
      <w:proofErr w:type="spellEnd"/>
      <w:r>
        <w:t>/L</w:t>
      </w:r>
      <w:r>
        <w:rPr>
          <w:vertAlign w:val="subscript"/>
        </w:rPr>
        <w:t>it</w:t>
      </w:r>
      <w:r>
        <w:t>, High-</w:t>
      </w:r>
      <w:proofErr w:type="spellStart"/>
      <w:r>
        <w:t>tech</w:t>
      </w:r>
      <w:r>
        <w:rPr>
          <w:vertAlign w:val="subscript"/>
        </w:rPr>
        <w:t>it</w:t>
      </w:r>
      <w:proofErr w:type="spellEnd"/>
      <w:r>
        <w:t>,</w:t>
      </w:r>
      <w:r w:rsidRPr="00C44396">
        <w:rPr>
          <w:rFonts w:eastAsiaTheme="minorEastAsia"/>
          <w:lang w:val="en-GB"/>
        </w:rPr>
        <w:t xml:space="preserve"> </w:t>
      </w:r>
      <w:r>
        <w:rPr>
          <w:rFonts w:eastAsiaTheme="minorEastAsia"/>
          <w:lang w:val="en-GB"/>
        </w:rPr>
        <w:t xml:space="preserve">         (10</w:t>
      </w:r>
      <w:r w:rsidRPr="006833C4">
        <w:rPr>
          <w:rFonts w:eastAsiaTheme="minorEastAsia"/>
          <w:lang w:val="en-GB"/>
        </w:rPr>
        <w:t>)</w:t>
      </w:r>
    </w:p>
    <w:p w14:paraId="3B7553DE" w14:textId="77777777" w:rsidR="00186CE3" w:rsidRDefault="00186CE3" w:rsidP="00186CE3">
      <w:pPr>
        <w:ind w:left="2880" w:firstLine="720"/>
        <w:jc w:val="both"/>
      </w:pPr>
      <w:r>
        <w:t>Medium-</w:t>
      </w:r>
      <w:proofErr w:type="spellStart"/>
      <w:r>
        <w:t>tech</w:t>
      </w:r>
      <w:r>
        <w:rPr>
          <w:vertAlign w:val="subscript"/>
        </w:rPr>
        <w:t>it</w:t>
      </w:r>
      <w:proofErr w:type="spellEnd"/>
      <w:r>
        <w:t>, Low-</w:t>
      </w:r>
      <w:proofErr w:type="spellStart"/>
      <w:r>
        <w:t>tech</w:t>
      </w:r>
      <w:r>
        <w:rPr>
          <w:vertAlign w:val="subscript"/>
        </w:rPr>
        <w:t>it</w:t>
      </w:r>
      <w:proofErr w:type="spellEnd"/>
      <w:r>
        <w:t xml:space="preserve">, </w:t>
      </w:r>
      <m:oMath>
        <m:sSub>
          <m:sSubPr>
            <m:ctrlPr>
              <w:rPr>
                <w:rFonts w:ascii="Cambria Math" w:hAnsi="Cambria Math"/>
                <w:i/>
              </w:rPr>
            </m:ctrlPr>
          </m:sSubPr>
          <m:e>
            <m:r>
              <w:rPr>
                <w:rFonts w:ascii="Cambria Math" w:hAnsi="Cambria Math"/>
              </w:rPr>
              <m:t>ε</m:t>
            </m:r>
          </m:e>
          <m:sub>
            <m:r>
              <w:rPr>
                <w:rFonts w:ascii="Cambria Math" w:hAnsi="Cambria Math"/>
              </w:rPr>
              <m:t>it</m:t>
            </m:r>
          </m:sub>
        </m:sSub>
      </m:oMath>
      <w:r>
        <w:t>)</w:t>
      </w:r>
    </w:p>
    <w:p w14:paraId="1F1F4AE2" w14:textId="77777777" w:rsidR="00186CE3" w:rsidRDefault="00186CE3" w:rsidP="00186CE3">
      <w:pPr>
        <w:jc w:val="both"/>
      </w:pPr>
    </w:p>
    <w:p w14:paraId="0E8894C6" w14:textId="7F53EB71" w:rsidR="00186CE3" w:rsidRDefault="00186CE3" w:rsidP="00186CE3">
      <w:pPr>
        <w:ind w:left="1440" w:hanging="1440"/>
        <w:jc w:val="both"/>
      </w:pPr>
      <w:r w:rsidRPr="00843F00">
        <w:rPr>
          <w:b/>
        </w:rPr>
        <w:t>Model 4a</w:t>
      </w:r>
      <w:r>
        <w:tab/>
      </w:r>
      <w:r>
        <w:rPr>
          <w:lang w:val="en-GB"/>
        </w:rPr>
        <w:t>Profit rate</w:t>
      </w:r>
      <w:r>
        <w:t xml:space="preserve"> = </w:t>
      </w:r>
      <w:r>
        <w:tab/>
        <w:t>f(</w:t>
      </w:r>
      <w:proofErr w:type="spellStart"/>
      <w:r>
        <w:t>logGDP</w:t>
      </w:r>
      <w:r>
        <w:rPr>
          <w:vertAlign w:val="subscript"/>
        </w:rPr>
        <w:t>it</w:t>
      </w:r>
      <w:proofErr w:type="spellEnd"/>
      <w:r>
        <w:t xml:space="preserve">, </w:t>
      </w:r>
      <w:proofErr w:type="spellStart"/>
      <w:r>
        <w:t>logGDPp</w:t>
      </w:r>
      <w:proofErr w:type="spellEnd"/>
      <w:r>
        <w:t>/</w:t>
      </w:r>
      <w:proofErr w:type="spellStart"/>
      <w:r>
        <w:t>c</w:t>
      </w:r>
      <w:r>
        <w:rPr>
          <w:vertAlign w:val="subscript"/>
        </w:rPr>
        <w:t>it</w:t>
      </w:r>
      <w:proofErr w:type="spellEnd"/>
      <w:r>
        <w:t xml:space="preserve">, </w:t>
      </w:r>
      <w:proofErr w:type="spellStart"/>
      <w:r>
        <w:t>Unemployment</w:t>
      </w:r>
      <w:r>
        <w:rPr>
          <w:vertAlign w:val="subscript"/>
        </w:rPr>
        <w:t>it</w:t>
      </w:r>
      <w:proofErr w:type="spellEnd"/>
      <w:r>
        <w:t xml:space="preserve">, </w:t>
      </w:r>
      <w:r>
        <w:rPr>
          <w:rFonts w:eastAsiaTheme="minorEastAsia"/>
          <w:lang w:val="en-GB"/>
        </w:rPr>
        <w:t xml:space="preserve">                           (11</w:t>
      </w:r>
      <w:r w:rsidRPr="006833C4">
        <w:rPr>
          <w:rFonts w:eastAsiaTheme="minorEastAsia"/>
          <w:lang w:val="en-GB"/>
        </w:rPr>
        <w:t>)</w:t>
      </w:r>
    </w:p>
    <w:p w14:paraId="28C02D26" w14:textId="77777777" w:rsidR="00186CE3" w:rsidRDefault="00186CE3" w:rsidP="00186CE3">
      <w:pPr>
        <w:ind w:left="2160" w:firstLine="720"/>
        <w:jc w:val="both"/>
      </w:pPr>
      <w:proofErr w:type="spellStart"/>
      <w:r>
        <w:t>logK</w:t>
      </w:r>
      <w:proofErr w:type="spellEnd"/>
      <w:r>
        <w:t>/L</w:t>
      </w:r>
      <w:r>
        <w:rPr>
          <w:vertAlign w:val="subscript"/>
        </w:rPr>
        <w:t>it</w:t>
      </w:r>
      <w:r>
        <w:t xml:space="preserve">, </w:t>
      </w:r>
      <w:proofErr w:type="spellStart"/>
      <w:r>
        <w:t>Agriculture</w:t>
      </w:r>
      <w:r>
        <w:rPr>
          <w:vertAlign w:val="subscript"/>
        </w:rPr>
        <w:t>it</w:t>
      </w:r>
      <w:proofErr w:type="spellEnd"/>
      <w:r>
        <w:t>,</w:t>
      </w:r>
      <w:r w:rsidRPr="00C44396">
        <w:rPr>
          <w:rFonts w:eastAsiaTheme="minorEastAsia"/>
          <w:lang w:val="en-GB"/>
        </w:rPr>
        <w:t xml:space="preserve"> </w:t>
      </w:r>
      <w:proofErr w:type="spellStart"/>
      <w:r>
        <w:t>Manufacturing</w:t>
      </w:r>
      <w:r>
        <w:rPr>
          <w:vertAlign w:val="subscript"/>
        </w:rPr>
        <w:t>it</w:t>
      </w:r>
      <w:proofErr w:type="spellEnd"/>
      <w:r>
        <w:t xml:space="preserve">, </w:t>
      </w:r>
    </w:p>
    <w:p w14:paraId="6F90CDA3" w14:textId="77777777" w:rsidR="00186CE3" w:rsidRDefault="00186CE3" w:rsidP="00186CE3">
      <w:pPr>
        <w:ind w:left="2160" w:firstLine="720"/>
        <w:jc w:val="both"/>
      </w:pPr>
      <w:proofErr w:type="spellStart"/>
      <w:r>
        <w:t>Construction</w:t>
      </w:r>
      <w:r>
        <w:rPr>
          <w:vertAlign w:val="subscript"/>
        </w:rPr>
        <w:t>it</w:t>
      </w:r>
      <w:proofErr w:type="spellEnd"/>
      <w:r>
        <w:t xml:space="preserve"> , </w:t>
      </w:r>
      <w:proofErr w:type="spellStart"/>
      <w:r>
        <w:t>Services</w:t>
      </w:r>
      <w:r>
        <w:rPr>
          <w:vertAlign w:val="subscript"/>
        </w:rPr>
        <w:t>it</w:t>
      </w:r>
      <w:proofErr w:type="spellEnd"/>
      <w:r>
        <w:t xml:space="preserve">, </w:t>
      </w:r>
      <w:proofErr w:type="spellStart"/>
      <w:r>
        <w:t>Public</w:t>
      </w:r>
      <w:r>
        <w:rPr>
          <w:vertAlign w:val="subscript"/>
        </w:rPr>
        <w:t>it</w:t>
      </w:r>
      <w:proofErr w:type="spellEnd"/>
      <w:r>
        <w:t xml:space="preserve">, </w:t>
      </w:r>
      <m:oMath>
        <m:sSub>
          <m:sSubPr>
            <m:ctrlPr>
              <w:rPr>
                <w:rFonts w:ascii="Cambria Math" w:hAnsi="Cambria Math"/>
                <w:i/>
              </w:rPr>
            </m:ctrlPr>
          </m:sSubPr>
          <m:e>
            <m:r>
              <w:rPr>
                <w:rFonts w:ascii="Cambria Math" w:hAnsi="Cambria Math"/>
              </w:rPr>
              <m:t>ε</m:t>
            </m:r>
          </m:e>
          <m:sub>
            <m:r>
              <w:rPr>
                <w:rFonts w:ascii="Cambria Math" w:hAnsi="Cambria Math"/>
              </w:rPr>
              <m:t>it</m:t>
            </m:r>
          </m:sub>
        </m:sSub>
      </m:oMath>
      <w:r>
        <w:t>)</w:t>
      </w:r>
    </w:p>
    <w:p w14:paraId="212DE752" w14:textId="77777777" w:rsidR="00186CE3" w:rsidRDefault="00186CE3" w:rsidP="00186CE3">
      <w:pPr>
        <w:jc w:val="both"/>
      </w:pPr>
    </w:p>
    <w:p w14:paraId="790FE710" w14:textId="38EBA95D" w:rsidR="00186CE3" w:rsidRDefault="00186CE3" w:rsidP="00186CE3">
      <w:pPr>
        <w:ind w:left="1440" w:hanging="1440"/>
        <w:jc w:val="both"/>
      </w:pPr>
      <w:r w:rsidRPr="00843F00">
        <w:rPr>
          <w:b/>
        </w:rPr>
        <w:t>Model 4b</w:t>
      </w:r>
      <w:r>
        <w:tab/>
      </w:r>
      <w:r>
        <w:rPr>
          <w:lang w:val="en-GB"/>
        </w:rPr>
        <w:t>Profit rate</w:t>
      </w:r>
      <w:r>
        <w:t xml:space="preserve"> = </w:t>
      </w:r>
      <w:r>
        <w:tab/>
        <w:t>f(</w:t>
      </w:r>
      <w:proofErr w:type="spellStart"/>
      <w:r>
        <w:t>logGDP</w:t>
      </w:r>
      <w:r>
        <w:rPr>
          <w:vertAlign w:val="subscript"/>
        </w:rPr>
        <w:t>it</w:t>
      </w:r>
      <w:proofErr w:type="spellEnd"/>
      <w:r>
        <w:t xml:space="preserve">, </w:t>
      </w:r>
      <w:proofErr w:type="spellStart"/>
      <w:r>
        <w:t>logGDPp</w:t>
      </w:r>
      <w:proofErr w:type="spellEnd"/>
      <w:r>
        <w:t>/</w:t>
      </w:r>
      <w:proofErr w:type="spellStart"/>
      <w:r>
        <w:t>c</w:t>
      </w:r>
      <w:r>
        <w:rPr>
          <w:vertAlign w:val="subscript"/>
        </w:rPr>
        <w:t>it</w:t>
      </w:r>
      <w:proofErr w:type="spellEnd"/>
      <w:r>
        <w:t xml:space="preserve">, </w:t>
      </w:r>
      <w:proofErr w:type="spellStart"/>
      <w:r>
        <w:t>Unemployment</w:t>
      </w:r>
      <w:r>
        <w:rPr>
          <w:vertAlign w:val="subscript"/>
        </w:rPr>
        <w:t>it</w:t>
      </w:r>
      <w:proofErr w:type="spellEnd"/>
      <w:r>
        <w:t xml:space="preserve">, </w:t>
      </w:r>
      <w:proofErr w:type="spellStart"/>
      <w:r>
        <w:t>logK</w:t>
      </w:r>
      <w:proofErr w:type="spellEnd"/>
      <w:r>
        <w:t>/L</w:t>
      </w:r>
      <w:r>
        <w:rPr>
          <w:vertAlign w:val="subscript"/>
        </w:rPr>
        <w:t>it</w:t>
      </w:r>
      <w:r>
        <w:t>,             (12)</w:t>
      </w:r>
    </w:p>
    <w:p w14:paraId="72204C71" w14:textId="77777777" w:rsidR="00186CE3" w:rsidRDefault="00186CE3" w:rsidP="00186CE3">
      <w:pPr>
        <w:ind w:left="2160" w:firstLine="720"/>
        <w:jc w:val="both"/>
      </w:pPr>
      <w:r>
        <w:t>High-</w:t>
      </w:r>
      <w:proofErr w:type="spellStart"/>
      <w:r>
        <w:t>tech</w:t>
      </w:r>
      <w:r>
        <w:rPr>
          <w:vertAlign w:val="subscript"/>
        </w:rPr>
        <w:t>it</w:t>
      </w:r>
      <w:proofErr w:type="spellEnd"/>
      <w:r>
        <w:t>,</w:t>
      </w:r>
      <w:r w:rsidRPr="00C44396">
        <w:rPr>
          <w:rFonts w:eastAsiaTheme="minorEastAsia"/>
          <w:lang w:val="en-GB"/>
        </w:rPr>
        <w:t xml:space="preserve"> </w:t>
      </w:r>
      <w:r>
        <w:t>Medium-</w:t>
      </w:r>
      <w:proofErr w:type="spellStart"/>
      <w:r>
        <w:t>tech</w:t>
      </w:r>
      <w:r>
        <w:rPr>
          <w:vertAlign w:val="subscript"/>
        </w:rPr>
        <w:t>it</w:t>
      </w:r>
      <w:proofErr w:type="spellEnd"/>
      <w:r>
        <w:t>, Low-</w:t>
      </w:r>
      <w:proofErr w:type="spellStart"/>
      <w:r>
        <w:t>tech</w:t>
      </w:r>
      <w:r>
        <w:rPr>
          <w:vertAlign w:val="subscript"/>
        </w:rPr>
        <w:t>it</w:t>
      </w:r>
      <w:proofErr w:type="spellEnd"/>
      <w:r>
        <w:t xml:space="preserve">, </w:t>
      </w:r>
      <m:oMath>
        <m:sSub>
          <m:sSubPr>
            <m:ctrlPr>
              <w:rPr>
                <w:rFonts w:ascii="Cambria Math" w:hAnsi="Cambria Math"/>
                <w:i/>
              </w:rPr>
            </m:ctrlPr>
          </m:sSubPr>
          <m:e>
            <m:r>
              <w:rPr>
                <w:rFonts w:ascii="Cambria Math" w:hAnsi="Cambria Math"/>
              </w:rPr>
              <m:t>ε</m:t>
            </m:r>
          </m:e>
          <m:sub>
            <m:r>
              <w:rPr>
                <w:rFonts w:ascii="Cambria Math" w:hAnsi="Cambria Math"/>
              </w:rPr>
              <m:t>it</m:t>
            </m:r>
          </m:sub>
        </m:sSub>
      </m:oMath>
      <w:r>
        <w:t>)</w:t>
      </w:r>
    </w:p>
    <w:p w14:paraId="5C21802A" w14:textId="77777777" w:rsidR="00186CE3" w:rsidRDefault="00186CE3" w:rsidP="00186CE3">
      <w:pPr>
        <w:jc w:val="both"/>
      </w:pPr>
    </w:p>
    <w:p w14:paraId="0C3EA181" w14:textId="13C00EE7" w:rsidR="00186CE3" w:rsidRDefault="00186CE3" w:rsidP="00186CE3">
      <w:pPr>
        <w:ind w:left="1440" w:hanging="1440"/>
        <w:jc w:val="both"/>
      </w:pPr>
      <w:r w:rsidRPr="00843F00">
        <w:rPr>
          <w:b/>
        </w:rPr>
        <w:t>Model 5a</w:t>
      </w:r>
      <w:r>
        <w:tab/>
      </w:r>
      <w:r>
        <w:rPr>
          <w:lang w:val="en-GB"/>
        </w:rPr>
        <w:t>Wage rate</w:t>
      </w:r>
      <w:r>
        <w:t xml:space="preserve"> = </w:t>
      </w:r>
      <w:r>
        <w:tab/>
        <w:t>f(</w:t>
      </w:r>
      <w:proofErr w:type="spellStart"/>
      <w:r>
        <w:t>logGDP</w:t>
      </w:r>
      <w:r>
        <w:rPr>
          <w:vertAlign w:val="subscript"/>
        </w:rPr>
        <w:t>it</w:t>
      </w:r>
      <w:proofErr w:type="spellEnd"/>
      <w:r>
        <w:t xml:space="preserve">, </w:t>
      </w:r>
      <w:proofErr w:type="spellStart"/>
      <w:r>
        <w:t>logGDPp</w:t>
      </w:r>
      <w:proofErr w:type="spellEnd"/>
      <w:r>
        <w:t>/</w:t>
      </w:r>
      <w:proofErr w:type="spellStart"/>
      <w:r>
        <w:t>c</w:t>
      </w:r>
      <w:r>
        <w:rPr>
          <w:vertAlign w:val="subscript"/>
        </w:rPr>
        <w:t>it</w:t>
      </w:r>
      <w:proofErr w:type="spellEnd"/>
      <w:r>
        <w:t xml:space="preserve">, </w:t>
      </w:r>
      <w:proofErr w:type="spellStart"/>
      <w:r>
        <w:t>Unemployment</w:t>
      </w:r>
      <w:r>
        <w:rPr>
          <w:vertAlign w:val="subscript"/>
        </w:rPr>
        <w:t>it</w:t>
      </w:r>
      <w:proofErr w:type="spellEnd"/>
      <w:r>
        <w:t xml:space="preserve">, </w:t>
      </w:r>
      <w:r>
        <w:rPr>
          <w:rFonts w:eastAsiaTheme="minorEastAsia"/>
          <w:lang w:val="en-GB"/>
        </w:rPr>
        <w:t xml:space="preserve">                           (13</w:t>
      </w:r>
      <w:r w:rsidRPr="006833C4">
        <w:rPr>
          <w:rFonts w:eastAsiaTheme="minorEastAsia"/>
          <w:lang w:val="en-GB"/>
        </w:rPr>
        <w:t>)</w:t>
      </w:r>
    </w:p>
    <w:p w14:paraId="59C687F6" w14:textId="77777777" w:rsidR="00186CE3" w:rsidRDefault="00186CE3" w:rsidP="00186CE3">
      <w:pPr>
        <w:ind w:left="2160" w:firstLine="720"/>
        <w:jc w:val="both"/>
      </w:pPr>
      <w:proofErr w:type="spellStart"/>
      <w:r>
        <w:t>logK</w:t>
      </w:r>
      <w:proofErr w:type="spellEnd"/>
      <w:r>
        <w:t>/L</w:t>
      </w:r>
      <w:r>
        <w:rPr>
          <w:vertAlign w:val="subscript"/>
        </w:rPr>
        <w:t>it</w:t>
      </w:r>
      <w:r>
        <w:t xml:space="preserve">, </w:t>
      </w:r>
      <w:proofErr w:type="spellStart"/>
      <w:r>
        <w:t>Agriculture</w:t>
      </w:r>
      <w:r>
        <w:rPr>
          <w:vertAlign w:val="subscript"/>
        </w:rPr>
        <w:t>it</w:t>
      </w:r>
      <w:proofErr w:type="spellEnd"/>
      <w:r>
        <w:t>,</w:t>
      </w:r>
      <w:r w:rsidRPr="00C44396">
        <w:rPr>
          <w:rFonts w:eastAsiaTheme="minorEastAsia"/>
          <w:lang w:val="en-GB"/>
        </w:rPr>
        <w:t xml:space="preserve"> </w:t>
      </w:r>
      <w:proofErr w:type="spellStart"/>
      <w:r>
        <w:t>Manufacturing</w:t>
      </w:r>
      <w:r>
        <w:rPr>
          <w:vertAlign w:val="subscript"/>
        </w:rPr>
        <w:t>it</w:t>
      </w:r>
      <w:proofErr w:type="spellEnd"/>
      <w:r>
        <w:t xml:space="preserve">, </w:t>
      </w:r>
    </w:p>
    <w:p w14:paraId="305AC7C1" w14:textId="77777777" w:rsidR="00186CE3" w:rsidRDefault="00186CE3" w:rsidP="00186CE3">
      <w:pPr>
        <w:ind w:left="2160" w:firstLine="720"/>
        <w:jc w:val="both"/>
      </w:pPr>
      <w:proofErr w:type="spellStart"/>
      <w:r>
        <w:t>Construction</w:t>
      </w:r>
      <w:r>
        <w:rPr>
          <w:vertAlign w:val="subscript"/>
        </w:rPr>
        <w:t>it</w:t>
      </w:r>
      <w:proofErr w:type="spellEnd"/>
      <w:r>
        <w:t xml:space="preserve"> , </w:t>
      </w:r>
      <w:proofErr w:type="spellStart"/>
      <w:r>
        <w:t>Services</w:t>
      </w:r>
      <w:r>
        <w:rPr>
          <w:vertAlign w:val="subscript"/>
        </w:rPr>
        <w:t>it</w:t>
      </w:r>
      <w:proofErr w:type="spellEnd"/>
      <w:r>
        <w:t xml:space="preserve">, </w:t>
      </w:r>
      <w:proofErr w:type="spellStart"/>
      <w:r>
        <w:t>Public</w:t>
      </w:r>
      <w:r>
        <w:rPr>
          <w:vertAlign w:val="subscript"/>
        </w:rPr>
        <w:t>it</w:t>
      </w:r>
      <w:proofErr w:type="spellEnd"/>
      <w:r>
        <w:t>,)</w:t>
      </w:r>
    </w:p>
    <w:p w14:paraId="25ADF35C" w14:textId="77777777" w:rsidR="00186CE3" w:rsidRDefault="00186CE3" w:rsidP="00186CE3">
      <w:pPr>
        <w:jc w:val="both"/>
      </w:pPr>
    </w:p>
    <w:p w14:paraId="1D5DC566" w14:textId="0908C45B" w:rsidR="00186CE3" w:rsidRDefault="00186CE3" w:rsidP="00186CE3">
      <w:pPr>
        <w:ind w:left="1440" w:hanging="1440"/>
        <w:jc w:val="both"/>
      </w:pPr>
      <w:r w:rsidRPr="00843F00">
        <w:rPr>
          <w:b/>
        </w:rPr>
        <w:t>Model 5b</w:t>
      </w:r>
      <w:r>
        <w:tab/>
      </w:r>
      <w:r>
        <w:rPr>
          <w:lang w:val="en-GB"/>
        </w:rPr>
        <w:t>Wage rate</w:t>
      </w:r>
      <w:r>
        <w:t xml:space="preserve"> = </w:t>
      </w:r>
      <w:r>
        <w:tab/>
        <w:t>f(</w:t>
      </w:r>
      <w:proofErr w:type="spellStart"/>
      <w:r>
        <w:t>logGDP</w:t>
      </w:r>
      <w:r>
        <w:rPr>
          <w:vertAlign w:val="subscript"/>
        </w:rPr>
        <w:t>it</w:t>
      </w:r>
      <w:proofErr w:type="spellEnd"/>
      <w:r>
        <w:t xml:space="preserve">, </w:t>
      </w:r>
      <w:proofErr w:type="spellStart"/>
      <w:r>
        <w:t>logGDPp</w:t>
      </w:r>
      <w:proofErr w:type="spellEnd"/>
      <w:r>
        <w:t>/</w:t>
      </w:r>
      <w:proofErr w:type="spellStart"/>
      <w:r>
        <w:t>c</w:t>
      </w:r>
      <w:r>
        <w:rPr>
          <w:vertAlign w:val="subscript"/>
        </w:rPr>
        <w:t>it</w:t>
      </w:r>
      <w:proofErr w:type="spellEnd"/>
      <w:r>
        <w:t xml:space="preserve">, </w:t>
      </w:r>
      <w:proofErr w:type="spellStart"/>
      <w:r>
        <w:t>Unemployment</w:t>
      </w:r>
      <w:r>
        <w:rPr>
          <w:vertAlign w:val="subscript"/>
        </w:rPr>
        <w:t>it</w:t>
      </w:r>
      <w:proofErr w:type="spellEnd"/>
      <w:r>
        <w:t xml:space="preserve">, </w:t>
      </w:r>
      <w:proofErr w:type="spellStart"/>
      <w:r>
        <w:t>logK</w:t>
      </w:r>
      <w:proofErr w:type="spellEnd"/>
      <w:r>
        <w:t>/L</w:t>
      </w:r>
      <w:r>
        <w:rPr>
          <w:vertAlign w:val="subscript"/>
        </w:rPr>
        <w:t>it</w:t>
      </w:r>
      <w:r>
        <w:t>,             (14)</w:t>
      </w:r>
    </w:p>
    <w:p w14:paraId="316A9DA4" w14:textId="77777777" w:rsidR="00186CE3" w:rsidRDefault="00186CE3" w:rsidP="00186CE3">
      <w:pPr>
        <w:ind w:left="2160" w:firstLine="720"/>
        <w:jc w:val="both"/>
      </w:pPr>
      <w:r>
        <w:t>High-</w:t>
      </w:r>
      <w:proofErr w:type="spellStart"/>
      <w:r>
        <w:t>tech</w:t>
      </w:r>
      <w:r>
        <w:rPr>
          <w:vertAlign w:val="subscript"/>
        </w:rPr>
        <w:t>it</w:t>
      </w:r>
      <w:proofErr w:type="spellEnd"/>
      <w:r>
        <w:t>,</w:t>
      </w:r>
      <w:r w:rsidRPr="00C44396">
        <w:rPr>
          <w:rFonts w:eastAsiaTheme="minorEastAsia"/>
          <w:lang w:val="en-GB"/>
        </w:rPr>
        <w:t xml:space="preserve"> </w:t>
      </w:r>
      <w:r>
        <w:t>Medium-</w:t>
      </w:r>
      <w:proofErr w:type="spellStart"/>
      <w:r>
        <w:t>tech</w:t>
      </w:r>
      <w:r>
        <w:rPr>
          <w:vertAlign w:val="subscript"/>
        </w:rPr>
        <w:t>it</w:t>
      </w:r>
      <w:proofErr w:type="spellEnd"/>
      <w:r>
        <w:t>, Low-</w:t>
      </w:r>
      <w:proofErr w:type="spellStart"/>
      <w:r>
        <w:t>tech</w:t>
      </w:r>
      <w:r>
        <w:rPr>
          <w:vertAlign w:val="subscript"/>
        </w:rPr>
        <w:t>it</w:t>
      </w:r>
      <w:proofErr w:type="spellEnd"/>
      <w:r>
        <w:t xml:space="preserve">, </w:t>
      </w:r>
      <m:oMath>
        <m:sSub>
          <m:sSubPr>
            <m:ctrlPr>
              <w:rPr>
                <w:rFonts w:ascii="Cambria Math" w:hAnsi="Cambria Math"/>
                <w:i/>
              </w:rPr>
            </m:ctrlPr>
          </m:sSubPr>
          <m:e>
            <m:r>
              <w:rPr>
                <w:rFonts w:ascii="Cambria Math" w:hAnsi="Cambria Math"/>
              </w:rPr>
              <m:t>ε</m:t>
            </m:r>
          </m:e>
          <m:sub>
            <m:r>
              <w:rPr>
                <w:rFonts w:ascii="Cambria Math" w:hAnsi="Cambria Math"/>
              </w:rPr>
              <m:t>it</m:t>
            </m:r>
          </m:sub>
        </m:sSub>
      </m:oMath>
      <w:r>
        <w:t>)</w:t>
      </w:r>
    </w:p>
    <w:p w14:paraId="622E7045" w14:textId="77777777" w:rsidR="00186CE3" w:rsidRDefault="00186CE3" w:rsidP="00186CE3">
      <w:pPr>
        <w:jc w:val="both"/>
      </w:pPr>
    </w:p>
    <w:p w14:paraId="2A960326" w14:textId="07EE3D8E" w:rsidR="00186CE3" w:rsidRDefault="00186CE3" w:rsidP="00186CE3">
      <w:pPr>
        <w:ind w:left="1440" w:hanging="1440"/>
        <w:jc w:val="both"/>
      </w:pPr>
      <w:r w:rsidRPr="00843F00">
        <w:rPr>
          <w:b/>
        </w:rPr>
        <w:t>Model 6a</w:t>
      </w:r>
      <w:r>
        <w:tab/>
      </w:r>
      <w:r>
        <w:rPr>
          <w:lang w:val="en-GB"/>
        </w:rPr>
        <w:t>Exploitation</w:t>
      </w:r>
      <w:r>
        <w:t xml:space="preserve"> = </w:t>
      </w:r>
      <w:r>
        <w:tab/>
        <w:t>f(</w:t>
      </w:r>
      <w:proofErr w:type="spellStart"/>
      <w:r>
        <w:t>logGDP</w:t>
      </w:r>
      <w:r>
        <w:rPr>
          <w:vertAlign w:val="subscript"/>
        </w:rPr>
        <w:t>it</w:t>
      </w:r>
      <w:proofErr w:type="spellEnd"/>
      <w:r>
        <w:t xml:space="preserve">, </w:t>
      </w:r>
      <w:proofErr w:type="spellStart"/>
      <w:r>
        <w:t>logGDPp</w:t>
      </w:r>
      <w:proofErr w:type="spellEnd"/>
      <w:r>
        <w:t>/</w:t>
      </w:r>
      <w:proofErr w:type="spellStart"/>
      <w:r>
        <w:t>c</w:t>
      </w:r>
      <w:r>
        <w:rPr>
          <w:vertAlign w:val="subscript"/>
        </w:rPr>
        <w:t>it</w:t>
      </w:r>
      <w:proofErr w:type="spellEnd"/>
      <w:r>
        <w:t xml:space="preserve">, </w:t>
      </w:r>
      <w:proofErr w:type="spellStart"/>
      <w:r>
        <w:t>Unemployment</w:t>
      </w:r>
      <w:r>
        <w:rPr>
          <w:vertAlign w:val="subscript"/>
        </w:rPr>
        <w:t>it</w:t>
      </w:r>
      <w:proofErr w:type="spellEnd"/>
      <w:r>
        <w:t xml:space="preserve">, </w:t>
      </w:r>
      <w:r>
        <w:rPr>
          <w:rFonts w:eastAsiaTheme="minorEastAsia"/>
          <w:lang w:val="en-GB"/>
        </w:rPr>
        <w:t xml:space="preserve">               (15</w:t>
      </w:r>
      <w:r w:rsidRPr="006833C4">
        <w:rPr>
          <w:rFonts w:eastAsiaTheme="minorEastAsia"/>
          <w:lang w:val="en-GB"/>
        </w:rPr>
        <w:t>)</w:t>
      </w:r>
    </w:p>
    <w:p w14:paraId="58039ADA" w14:textId="77777777" w:rsidR="00186CE3" w:rsidRDefault="00186CE3" w:rsidP="00186CE3">
      <w:pPr>
        <w:ind w:left="2880" w:firstLine="720"/>
        <w:jc w:val="both"/>
      </w:pPr>
      <w:proofErr w:type="spellStart"/>
      <w:r>
        <w:lastRenderedPageBreak/>
        <w:t>logK</w:t>
      </w:r>
      <w:proofErr w:type="spellEnd"/>
      <w:r>
        <w:t>/L</w:t>
      </w:r>
      <w:r>
        <w:rPr>
          <w:vertAlign w:val="subscript"/>
        </w:rPr>
        <w:t>it</w:t>
      </w:r>
      <w:r>
        <w:t xml:space="preserve">, </w:t>
      </w:r>
      <w:proofErr w:type="spellStart"/>
      <w:r>
        <w:t>Agriculture</w:t>
      </w:r>
      <w:r>
        <w:rPr>
          <w:vertAlign w:val="subscript"/>
        </w:rPr>
        <w:t>it</w:t>
      </w:r>
      <w:proofErr w:type="spellEnd"/>
      <w:r>
        <w:t>,</w:t>
      </w:r>
      <w:r w:rsidRPr="00C44396">
        <w:rPr>
          <w:rFonts w:eastAsiaTheme="minorEastAsia"/>
          <w:lang w:val="en-GB"/>
        </w:rPr>
        <w:t xml:space="preserve"> </w:t>
      </w:r>
      <w:proofErr w:type="spellStart"/>
      <w:r>
        <w:t>Manufacturing</w:t>
      </w:r>
      <w:r>
        <w:rPr>
          <w:vertAlign w:val="subscript"/>
        </w:rPr>
        <w:t>it</w:t>
      </w:r>
      <w:proofErr w:type="spellEnd"/>
      <w:r>
        <w:t xml:space="preserve">, </w:t>
      </w:r>
    </w:p>
    <w:p w14:paraId="1D587311" w14:textId="77777777" w:rsidR="00186CE3" w:rsidRDefault="00186CE3" w:rsidP="00186CE3">
      <w:pPr>
        <w:ind w:left="2880" w:firstLine="720"/>
        <w:jc w:val="both"/>
      </w:pPr>
      <w:proofErr w:type="spellStart"/>
      <w:r>
        <w:t>Construction</w:t>
      </w:r>
      <w:r>
        <w:rPr>
          <w:vertAlign w:val="subscript"/>
        </w:rPr>
        <w:t>it</w:t>
      </w:r>
      <w:proofErr w:type="spellEnd"/>
      <w:r>
        <w:t xml:space="preserve"> , </w:t>
      </w:r>
      <w:proofErr w:type="spellStart"/>
      <w:r>
        <w:t>Services</w:t>
      </w:r>
      <w:r>
        <w:rPr>
          <w:vertAlign w:val="subscript"/>
        </w:rPr>
        <w:t>it</w:t>
      </w:r>
      <w:proofErr w:type="spellEnd"/>
      <w:r>
        <w:t xml:space="preserve">, </w:t>
      </w:r>
      <w:proofErr w:type="spellStart"/>
      <w:r>
        <w:t>Public</w:t>
      </w:r>
      <w:r>
        <w:rPr>
          <w:vertAlign w:val="subscript"/>
        </w:rPr>
        <w:t>it</w:t>
      </w:r>
      <w:proofErr w:type="spellEnd"/>
      <w:r>
        <w:t>,)</w:t>
      </w:r>
    </w:p>
    <w:p w14:paraId="65430CCB" w14:textId="77777777" w:rsidR="00186CE3" w:rsidRDefault="00186CE3" w:rsidP="00186CE3">
      <w:pPr>
        <w:jc w:val="both"/>
      </w:pPr>
    </w:p>
    <w:p w14:paraId="584EBBBC" w14:textId="7936B0DE" w:rsidR="00186CE3" w:rsidRDefault="00186CE3" w:rsidP="00186CE3">
      <w:pPr>
        <w:ind w:left="1440" w:hanging="1440"/>
        <w:jc w:val="both"/>
      </w:pPr>
      <w:r w:rsidRPr="00843F00">
        <w:rPr>
          <w:b/>
        </w:rPr>
        <w:t>Model 6b</w:t>
      </w:r>
      <w:r>
        <w:tab/>
      </w:r>
      <w:r>
        <w:rPr>
          <w:lang w:val="en-GB"/>
        </w:rPr>
        <w:t>Exploitation</w:t>
      </w:r>
      <w:r>
        <w:t xml:space="preserve"> = </w:t>
      </w:r>
      <w:r>
        <w:tab/>
        <w:t>f(</w:t>
      </w:r>
      <w:proofErr w:type="spellStart"/>
      <w:r>
        <w:t>logGDP</w:t>
      </w:r>
      <w:r>
        <w:rPr>
          <w:vertAlign w:val="subscript"/>
        </w:rPr>
        <w:t>it</w:t>
      </w:r>
      <w:proofErr w:type="spellEnd"/>
      <w:r>
        <w:t xml:space="preserve">, </w:t>
      </w:r>
      <w:proofErr w:type="spellStart"/>
      <w:r>
        <w:t>logGDPp</w:t>
      </w:r>
      <w:proofErr w:type="spellEnd"/>
      <w:r>
        <w:t>/</w:t>
      </w:r>
      <w:proofErr w:type="spellStart"/>
      <w:r>
        <w:t>c</w:t>
      </w:r>
      <w:r>
        <w:rPr>
          <w:vertAlign w:val="subscript"/>
        </w:rPr>
        <w:t>it</w:t>
      </w:r>
      <w:proofErr w:type="spellEnd"/>
      <w:r>
        <w:t xml:space="preserve">, </w:t>
      </w:r>
      <w:proofErr w:type="spellStart"/>
      <w:r>
        <w:t>Unemployment</w:t>
      </w:r>
      <w:r>
        <w:rPr>
          <w:vertAlign w:val="subscript"/>
        </w:rPr>
        <w:t>it</w:t>
      </w:r>
      <w:proofErr w:type="spellEnd"/>
      <w:r>
        <w:t>,                (16)</w:t>
      </w:r>
    </w:p>
    <w:p w14:paraId="5F84FC07" w14:textId="77777777" w:rsidR="00186CE3" w:rsidRDefault="00186CE3" w:rsidP="00186CE3">
      <w:pPr>
        <w:ind w:left="2880" w:firstLine="720"/>
        <w:jc w:val="both"/>
      </w:pPr>
      <w:proofErr w:type="spellStart"/>
      <w:r>
        <w:t>logK</w:t>
      </w:r>
      <w:proofErr w:type="spellEnd"/>
      <w:r>
        <w:t>/L</w:t>
      </w:r>
      <w:r>
        <w:rPr>
          <w:vertAlign w:val="subscript"/>
        </w:rPr>
        <w:t>it</w:t>
      </w:r>
      <w:r>
        <w:t>, High-</w:t>
      </w:r>
      <w:proofErr w:type="spellStart"/>
      <w:r>
        <w:t>tech</w:t>
      </w:r>
      <w:r>
        <w:rPr>
          <w:vertAlign w:val="subscript"/>
        </w:rPr>
        <w:t>it</w:t>
      </w:r>
      <w:proofErr w:type="spellEnd"/>
      <w:r>
        <w:t>,</w:t>
      </w:r>
      <w:r w:rsidRPr="00C44396">
        <w:rPr>
          <w:rFonts w:eastAsiaTheme="minorEastAsia"/>
          <w:lang w:val="en-GB"/>
        </w:rPr>
        <w:t xml:space="preserve"> </w:t>
      </w:r>
      <w:r>
        <w:t>Medium-</w:t>
      </w:r>
      <w:proofErr w:type="spellStart"/>
      <w:r>
        <w:t>tech</w:t>
      </w:r>
      <w:r>
        <w:rPr>
          <w:vertAlign w:val="subscript"/>
        </w:rPr>
        <w:t>it</w:t>
      </w:r>
      <w:proofErr w:type="spellEnd"/>
      <w:r>
        <w:t>,</w:t>
      </w:r>
    </w:p>
    <w:p w14:paraId="0BC5857E" w14:textId="77777777" w:rsidR="00186CE3" w:rsidRDefault="00186CE3" w:rsidP="00186CE3">
      <w:pPr>
        <w:ind w:left="2880" w:firstLine="720"/>
        <w:jc w:val="both"/>
      </w:pPr>
      <w:r>
        <w:t>Low-</w:t>
      </w:r>
      <w:proofErr w:type="spellStart"/>
      <w:r>
        <w:t>tech</w:t>
      </w:r>
      <w:r>
        <w:rPr>
          <w:vertAlign w:val="subscript"/>
        </w:rPr>
        <w:t>it</w:t>
      </w:r>
      <w:proofErr w:type="spellEnd"/>
      <w:r>
        <w:t xml:space="preserve">, </w:t>
      </w:r>
      <m:oMath>
        <m:sSub>
          <m:sSubPr>
            <m:ctrlPr>
              <w:rPr>
                <w:rFonts w:ascii="Cambria Math" w:hAnsi="Cambria Math"/>
                <w:i/>
              </w:rPr>
            </m:ctrlPr>
          </m:sSubPr>
          <m:e>
            <m:r>
              <w:rPr>
                <w:rFonts w:ascii="Cambria Math" w:hAnsi="Cambria Math"/>
              </w:rPr>
              <m:t>ε</m:t>
            </m:r>
          </m:e>
          <m:sub>
            <m:r>
              <w:rPr>
                <w:rFonts w:ascii="Cambria Math" w:hAnsi="Cambria Math"/>
              </w:rPr>
              <m:t>it</m:t>
            </m:r>
          </m:sub>
        </m:sSub>
      </m:oMath>
      <w:r>
        <w:t>)</w:t>
      </w:r>
    </w:p>
    <w:p w14:paraId="339EEA4C" w14:textId="77777777" w:rsidR="00186CE3" w:rsidRDefault="00186CE3" w:rsidP="00186CE3">
      <w:pPr>
        <w:jc w:val="both"/>
      </w:pPr>
    </w:p>
    <w:p w14:paraId="728F2FEF" w14:textId="77777777" w:rsidR="00186CE3" w:rsidRDefault="00186CE3" w:rsidP="00186CE3">
      <w:pPr>
        <w:jc w:val="both"/>
        <w:rPr>
          <w:lang w:val="en-GB"/>
        </w:rPr>
      </w:pPr>
      <w:r>
        <w:rPr>
          <w:lang w:val="en-GB"/>
        </w:rPr>
        <w:t>The aforementioned equations are executed on a strongly balanced panel data set (</w:t>
      </w:r>
      <m:oMath>
        <m:r>
          <w:rPr>
            <w:rFonts w:ascii="Cambria Math" w:hAnsi="Cambria Math"/>
            <w:lang w:val="en-GB"/>
          </w:rPr>
          <m:t>n=18</m:t>
        </m:r>
      </m:oMath>
      <w:r>
        <w:rPr>
          <w:lang w:val="en-GB"/>
        </w:rPr>
        <w:t xml:space="preserve">, </w:t>
      </w:r>
      <m:oMath>
        <m:r>
          <w:rPr>
            <w:rFonts w:ascii="Cambria Math" w:hAnsi="Cambria Math"/>
            <w:lang w:val="en-GB"/>
          </w:rPr>
          <m:t>t=14</m:t>
        </m:r>
      </m:oMath>
      <w:r>
        <w:rPr>
          <w:lang w:val="en-GB"/>
        </w:rPr>
        <w:t>), containing a maximum of 252 (sectoral) or 238 (technological) separate observations.</w:t>
      </w:r>
    </w:p>
    <w:p w14:paraId="7A2EEB37" w14:textId="77777777" w:rsidR="00186CE3" w:rsidRDefault="00186CE3" w:rsidP="00186CE3">
      <w:pPr>
        <w:jc w:val="both"/>
        <w:rPr>
          <w:lang w:val="en-GB"/>
        </w:rPr>
      </w:pPr>
    </w:p>
    <w:p w14:paraId="7502A5DF" w14:textId="77777777" w:rsidR="00186CE3" w:rsidRPr="0095370E" w:rsidRDefault="00186CE3" w:rsidP="00186CE3">
      <w:pPr>
        <w:jc w:val="both"/>
        <w:rPr>
          <w:lang w:val="en-GB"/>
        </w:rPr>
      </w:pPr>
      <w:r w:rsidRPr="0095370E">
        <w:rPr>
          <w:lang w:val="en-GB"/>
        </w:rPr>
        <w:t xml:space="preserve">The model proposed has six endogenous/dependent variables labelled either as the determinants of the Eurozone’s cross-country inequality or as their consequences, and </w:t>
      </w:r>
      <w:r>
        <w:rPr>
          <w:lang w:val="en-GB"/>
        </w:rPr>
        <w:t xml:space="preserve">is </w:t>
      </w:r>
      <w:r w:rsidRPr="0095370E">
        <w:rPr>
          <w:lang w:val="en-GB"/>
        </w:rPr>
        <w:t>thoroughly explained within the previous section.</w:t>
      </w:r>
    </w:p>
    <w:p w14:paraId="01A256D3" w14:textId="77777777" w:rsidR="00186CE3" w:rsidRPr="0095370E" w:rsidRDefault="00186CE3" w:rsidP="00186CE3">
      <w:pPr>
        <w:jc w:val="both"/>
        <w:rPr>
          <w:lang w:val="en-GB"/>
        </w:rPr>
      </w:pPr>
    </w:p>
    <w:p w14:paraId="4BE9850A" w14:textId="77777777" w:rsidR="00186CE3" w:rsidRDefault="00186CE3" w:rsidP="00186CE3">
      <w:pPr>
        <w:jc w:val="both"/>
        <w:rPr>
          <w:lang w:val="en-GB"/>
        </w:rPr>
      </w:pPr>
      <w:r w:rsidRPr="0095370E">
        <w:rPr>
          <w:lang w:val="en-GB"/>
        </w:rPr>
        <w:t>Additionally, the model has two sets of explanatory variables used to capture the unequal exchange arising from international trade. The first set contains control variables</w:t>
      </w:r>
      <w:r>
        <w:rPr>
          <w:lang w:val="en-GB"/>
        </w:rPr>
        <w:t>, w</w:t>
      </w:r>
      <w:r w:rsidRPr="0095370E">
        <w:rPr>
          <w:lang w:val="en-GB"/>
        </w:rPr>
        <w:t xml:space="preserve">here the authors used </w:t>
      </w:r>
      <w:r>
        <w:rPr>
          <w:lang w:val="en-GB"/>
        </w:rPr>
        <w:t xml:space="preserve">the </w:t>
      </w:r>
      <w:r w:rsidRPr="0095370E">
        <w:rPr>
          <w:lang w:val="en-GB"/>
        </w:rPr>
        <w:t xml:space="preserve">following variables: logarithm of </w:t>
      </w:r>
      <w:r>
        <w:rPr>
          <w:lang w:val="en-GB"/>
        </w:rPr>
        <w:t xml:space="preserve">the World Bank’s (2019) </w:t>
      </w:r>
      <w:r w:rsidRPr="0095370E">
        <w:rPr>
          <w:lang w:val="en-GB"/>
        </w:rPr>
        <w:t>economic output (log</w:t>
      </w:r>
      <m:oMath>
        <m:sSub>
          <m:sSubPr>
            <m:ctrlPr>
              <w:rPr>
                <w:rFonts w:ascii="Cambria Math" w:hAnsi="Cambria Math"/>
                <w:i/>
                <w:lang w:val="en-GB"/>
              </w:rPr>
            </m:ctrlPr>
          </m:sSubPr>
          <m:e>
            <m:r>
              <w:rPr>
                <w:rFonts w:ascii="Cambria Math" w:hAnsi="Cambria Math"/>
                <w:lang w:val="en-GB"/>
              </w:rPr>
              <m:t>GDP</m:t>
            </m:r>
          </m:e>
          <m:sub>
            <m:r>
              <w:rPr>
                <w:rFonts w:ascii="Cambria Math" w:hAnsi="Cambria Math"/>
                <w:lang w:val="en-GB"/>
              </w:rPr>
              <m:t>it</m:t>
            </m:r>
          </m:sub>
        </m:sSub>
      </m:oMath>
      <w:r w:rsidRPr="0095370E">
        <w:rPr>
          <w:lang w:val="en-GB"/>
        </w:rPr>
        <w:t xml:space="preserve">) used to capture the country’s economic size, logarithm of </w:t>
      </w:r>
      <w:r>
        <w:rPr>
          <w:lang w:val="en-GB"/>
        </w:rPr>
        <w:t xml:space="preserve">the World Bank’s (2019) </w:t>
      </w:r>
      <w:r w:rsidRPr="0095370E">
        <w:rPr>
          <w:lang w:val="en-GB"/>
        </w:rPr>
        <w:t>economic output per capita (log</w:t>
      </w:r>
      <m:oMath>
        <m:sSub>
          <m:sSubPr>
            <m:ctrlPr>
              <w:rPr>
                <w:rFonts w:ascii="Cambria Math" w:hAnsi="Cambria Math"/>
                <w:i/>
                <w:lang w:val="en-GB"/>
              </w:rPr>
            </m:ctrlPr>
          </m:sSubPr>
          <m:e>
            <m:r>
              <w:rPr>
                <w:rFonts w:ascii="Cambria Math" w:hAnsi="Cambria Math"/>
                <w:lang w:val="en-GB"/>
              </w:rPr>
              <m:t>GDPp/c</m:t>
            </m:r>
          </m:e>
          <m:sub>
            <m:r>
              <w:rPr>
                <w:rFonts w:ascii="Cambria Math" w:hAnsi="Cambria Math"/>
                <w:lang w:val="en-GB"/>
              </w:rPr>
              <m:t>it</m:t>
            </m:r>
          </m:sub>
        </m:sSub>
      </m:oMath>
      <w:r w:rsidRPr="0095370E">
        <w:rPr>
          <w:lang w:val="en-GB"/>
        </w:rPr>
        <w:t xml:space="preserve">) used to account for country’s development level, logarithm of </w:t>
      </w:r>
      <w:r>
        <w:rPr>
          <w:lang w:val="en-GB"/>
        </w:rPr>
        <w:t xml:space="preserve">the </w:t>
      </w:r>
      <w:r w:rsidRPr="0095370E">
        <w:rPr>
          <w:lang w:val="en-GB"/>
        </w:rPr>
        <w:t>capital-labour ratio (log</w:t>
      </w:r>
      <m:oMath>
        <m:sSub>
          <m:sSubPr>
            <m:ctrlPr>
              <w:rPr>
                <w:rFonts w:ascii="Cambria Math" w:hAnsi="Cambria Math"/>
                <w:i/>
                <w:lang w:val="en-GB"/>
              </w:rPr>
            </m:ctrlPr>
          </m:sSubPr>
          <m:e>
            <m:r>
              <w:rPr>
                <w:rFonts w:ascii="Cambria Math" w:hAnsi="Cambria Math"/>
                <w:lang w:val="en-GB"/>
              </w:rPr>
              <m:t>K/L</m:t>
            </m:r>
          </m:e>
          <m:sub>
            <m:r>
              <w:rPr>
                <w:rFonts w:ascii="Cambria Math" w:hAnsi="Cambria Math"/>
                <w:lang w:val="en-GB"/>
              </w:rPr>
              <m:t>it</m:t>
            </m:r>
          </m:sub>
        </m:sSub>
      </m:oMath>
      <w:r w:rsidRPr="0095370E">
        <w:rPr>
          <w:lang w:val="en-GB"/>
        </w:rPr>
        <w:t>) used to address the issue of capital/labour intensity, and the</w:t>
      </w:r>
      <w:r>
        <w:rPr>
          <w:lang w:val="en-GB"/>
        </w:rPr>
        <w:t xml:space="preserve"> Eurostat’s (2019a)</w:t>
      </w:r>
      <w:r w:rsidRPr="0095370E">
        <w:rPr>
          <w:lang w:val="en-GB"/>
        </w:rPr>
        <w:t xml:space="preserve"> unemployment rate (</w:t>
      </w:r>
      <m:oMath>
        <m:sSub>
          <m:sSubPr>
            <m:ctrlPr>
              <w:rPr>
                <w:rFonts w:ascii="Cambria Math" w:hAnsi="Cambria Math"/>
                <w:i/>
                <w:lang w:val="en-GB"/>
              </w:rPr>
            </m:ctrlPr>
          </m:sSubPr>
          <m:e>
            <m:r>
              <w:rPr>
                <w:rFonts w:ascii="Cambria Math" w:hAnsi="Cambria Math"/>
                <w:lang w:val="en-GB"/>
              </w:rPr>
              <m:t>Unemployment</m:t>
            </m:r>
          </m:e>
          <m:sub>
            <m:r>
              <w:rPr>
                <w:rFonts w:ascii="Cambria Math" w:hAnsi="Cambria Math"/>
                <w:lang w:val="en-GB"/>
              </w:rPr>
              <m:t>it</m:t>
            </m:r>
          </m:sub>
        </m:sSub>
      </m:oMath>
      <w:r w:rsidRPr="0095370E">
        <w:rPr>
          <w:lang w:val="en-GB"/>
        </w:rPr>
        <w:t>)</w:t>
      </w:r>
      <w:r>
        <w:rPr>
          <w:lang w:val="en-GB"/>
        </w:rPr>
        <w:t>,</w:t>
      </w:r>
      <w:r w:rsidRPr="0095370E">
        <w:rPr>
          <w:lang w:val="en-GB"/>
        </w:rPr>
        <w:t xml:space="preserve"> used to investigate the impact of the relations on the labour markets.</w:t>
      </w:r>
      <w:r>
        <w:rPr>
          <w:lang w:val="en-GB"/>
        </w:rPr>
        <w:t xml:space="preserve"> The second set of explanatory variables is used to investigate the specific influence of the economy’s structure on the Eurozone’s cross-country inequality. They are presented in the following table:</w:t>
      </w:r>
    </w:p>
    <w:p w14:paraId="58A1A6CD" w14:textId="77777777" w:rsidR="00186CE3" w:rsidRDefault="00186CE3" w:rsidP="00186CE3">
      <w:pPr>
        <w:jc w:val="both"/>
        <w:rPr>
          <w:lang w:val="en-GB"/>
        </w:rPr>
      </w:pPr>
    </w:p>
    <w:p w14:paraId="4C88E76E" w14:textId="77777777" w:rsidR="00186CE3" w:rsidRPr="00D51097" w:rsidRDefault="00186CE3" w:rsidP="00186CE3">
      <w:pPr>
        <w:jc w:val="both"/>
        <w:rPr>
          <w:i/>
          <w:sz w:val="20"/>
          <w:lang w:val="en-GB"/>
        </w:rPr>
      </w:pPr>
      <w:r w:rsidRPr="00D51097">
        <w:rPr>
          <w:i/>
          <w:sz w:val="20"/>
          <w:lang w:val="en-GB"/>
        </w:rPr>
        <w:t>Table 1. The sectoral/technological composition of the analysis</w:t>
      </w:r>
    </w:p>
    <w:p w14:paraId="3B234273" w14:textId="77777777" w:rsidR="00186CE3" w:rsidRPr="0095370E" w:rsidRDefault="00186CE3" w:rsidP="00186CE3">
      <w:pPr>
        <w:jc w:val="both"/>
        <w:rPr>
          <w:lang w:val="en-GB"/>
        </w:rPr>
      </w:pPr>
    </w:p>
    <w:tbl>
      <w:tblPr>
        <w:tblW w:w="8838" w:type="dxa"/>
        <w:jc w:val="center"/>
        <w:tblLook w:val="04A0" w:firstRow="1" w:lastRow="0" w:firstColumn="1" w:lastColumn="0" w:noHBand="0" w:noVBand="1"/>
      </w:tblPr>
      <w:tblGrid>
        <w:gridCol w:w="1987"/>
        <w:gridCol w:w="6851"/>
      </w:tblGrid>
      <w:tr w:rsidR="00654F2D" w:rsidRPr="005032E0" w14:paraId="4DBB1984" w14:textId="77777777" w:rsidTr="00654F2D">
        <w:trPr>
          <w:trHeight w:val="220"/>
          <w:jc w:val="center"/>
        </w:trPr>
        <w:tc>
          <w:tcPr>
            <w:tcW w:w="1987" w:type="dxa"/>
            <w:tcBorders>
              <w:top w:val="single" w:sz="8" w:space="0" w:color="auto"/>
              <w:left w:val="single" w:sz="8" w:space="0" w:color="auto"/>
              <w:bottom w:val="nil"/>
              <w:right w:val="single" w:sz="4" w:space="0" w:color="auto"/>
            </w:tcBorders>
            <w:shd w:val="clear" w:color="000000" w:fill="D9D9D9"/>
            <w:noWrap/>
            <w:vAlign w:val="center"/>
            <w:hideMark/>
          </w:tcPr>
          <w:p w14:paraId="699C63BB" w14:textId="77777777" w:rsidR="00654F2D" w:rsidRPr="005032E0" w:rsidRDefault="00654F2D">
            <w:pPr>
              <w:jc w:val="center"/>
              <w:rPr>
                <w:color w:val="000000"/>
                <w:sz w:val="20"/>
                <w:szCs w:val="20"/>
                <w:lang w:val="hr-HR"/>
              </w:rPr>
            </w:pPr>
            <w:r w:rsidRPr="005032E0">
              <w:rPr>
                <w:color w:val="000000"/>
                <w:sz w:val="20"/>
                <w:szCs w:val="20"/>
              </w:rPr>
              <w:t>Variable</w:t>
            </w:r>
          </w:p>
        </w:tc>
        <w:tc>
          <w:tcPr>
            <w:tcW w:w="6851" w:type="dxa"/>
            <w:tcBorders>
              <w:top w:val="single" w:sz="8" w:space="0" w:color="auto"/>
              <w:left w:val="nil"/>
              <w:bottom w:val="nil"/>
              <w:right w:val="single" w:sz="8" w:space="0" w:color="auto"/>
            </w:tcBorders>
            <w:shd w:val="clear" w:color="000000" w:fill="D9D9D9"/>
            <w:noWrap/>
            <w:vAlign w:val="center"/>
            <w:hideMark/>
          </w:tcPr>
          <w:p w14:paraId="2FAAFD10" w14:textId="77777777" w:rsidR="00654F2D" w:rsidRPr="005032E0" w:rsidRDefault="00654F2D">
            <w:pPr>
              <w:jc w:val="center"/>
              <w:rPr>
                <w:color w:val="000000"/>
                <w:sz w:val="20"/>
                <w:szCs w:val="20"/>
              </w:rPr>
            </w:pPr>
            <w:r w:rsidRPr="005032E0">
              <w:rPr>
                <w:color w:val="000000"/>
                <w:sz w:val="20"/>
                <w:szCs w:val="20"/>
              </w:rPr>
              <w:t>Description</w:t>
            </w:r>
          </w:p>
        </w:tc>
      </w:tr>
      <w:tr w:rsidR="00654F2D" w:rsidRPr="005032E0" w14:paraId="1ED43515" w14:textId="77777777" w:rsidTr="00654F2D">
        <w:trPr>
          <w:trHeight w:val="220"/>
          <w:jc w:val="center"/>
        </w:trPr>
        <w:tc>
          <w:tcPr>
            <w:tcW w:w="8838" w:type="dxa"/>
            <w:gridSpan w:val="2"/>
            <w:tcBorders>
              <w:top w:val="single" w:sz="4" w:space="0" w:color="auto"/>
              <w:left w:val="single" w:sz="8" w:space="0" w:color="auto"/>
              <w:bottom w:val="single" w:sz="4" w:space="0" w:color="auto"/>
              <w:right w:val="single" w:sz="8" w:space="0" w:color="000000"/>
            </w:tcBorders>
            <w:shd w:val="clear" w:color="auto" w:fill="auto"/>
            <w:hideMark/>
          </w:tcPr>
          <w:p w14:paraId="1DCEBA77" w14:textId="77777777" w:rsidR="00654F2D" w:rsidRPr="005032E0" w:rsidRDefault="00654F2D">
            <w:pPr>
              <w:rPr>
                <w:i/>
                <w:iCs/>
                <w:color w:val="000000"/>
                <w:sz w:val="20"/>
                <w:szCs w:val="20"/>
              </w:rPr>
            </w:pPr>
            <w:r w:rsidRPr="005032E0">
              <w:rPr>
                <w:i/>
                <w:iCs/>
                <w:color w:val="000000"/>
                <w:sz w:val="20"/>
                <w:szCs w:val="20"/>
              </w:rPr>
              <w:t>Sectoral Structure of Economy</w:t>
            </w:r>
          </w:p>
        </w:tc>
      </w:tr>
      <w:tr w:rsidR="00654F2D" w:rsidRPr="005032E0" w14:paraId="2D4C7083" w14:textId="77777777" w:rsidTr="00654F2D">
        <w:trPr>
          <w:trHeight w:val="345"/>
          <w:jc w:val="center"/>
        </w:trPr>
        <w:tc>
          <w:tcPr>
            <w:tcW w:w="1987" w:type="dxa"/>
            <w:tcBorders>
              <w:top w:val="nil"/>
              <w:left w:val="single" w:sz="8" w:space="0" w:color="auto"/>
              <w:bottom w:val="single" w:sz="4" w:space="0" w:color="auto"/>
              <w:right w:val="single" w:sz="4" w:space="0" w:color="auto"/>
            </w:tcBorders>
            <w:shd w:val="clear" w:color="auto" w:fill="auto"/>
            <w:hideMark/>
          </w:tcPr>
          <w:p w14:paraId="4E0535E7" w14:textId="77777777" w:rsidR="00654F2D" w:rsidRPr="005032E0" w:rsidRDefault="00654F2D">
            <w:pPr>
              <w:rPr>
                <w:color w:val="000000"/>
                <w:sz w:val="20"/>
                <w:szCs w:val="20"/>
              </w:rPr>
            </w:pPr>
            <w:r w:rsidRPr="005032E0">
              <w:rPr>
                <w:color w:val="000000"/>
                <w:sz w:val="20"/>
                <w:szCs w:val="20"/>
              </w:rPr>
              <w:t>Agriculture</w:t>
            </w:r>
          </w:p>
        </w:tc>
        <w:tc>
          <w:tcPr>
            <w:tcW w:w="6851" w:type="dxa"/>
            <w:tcBorders>
              <w:top w:val="nil"/>
              <w:left w:val="nil"/>
              <w:bottom w:val="single" w:sz="4" w:space="0" w:color="auto"/>
              <w:right w:val="single" w:sz="8" w:space="0" w:color="auto"/>
            </w:tcBorders>
            <w:shd w:val="clear" w:color="auto" w:fill="auto"/>
            <w:hideMark/>
          </w:tcPr>
          <w:p w14:paraId="38F1BF80" w14:textId="6F3B5136" w:rsidR="00654F2D" w:rsidRPr="005032E0" w:rsidRDefault="00654F2D">
            <w:pPr>
              <w:rPr>
                <w:color w:val="000000"/>
                <w:sz w:val="20"/>
                <w:szCs w:val="20"/>
              </w:rPr>
            </w:pPr>
            <w:r w:rsidRPr="005032E0">
              <w:rPr>
                <w:color w:val="000000"/>
                <w:sz w:val="20"/>
                <w:szCs w:val="20"/>
              </w:rPr>
              <w:t>Agriculture, forestry and fishing activities % of GVA (NACE section A).</w:t>
            </w:r>
          </w:p>
        </w:tc>
      </w:tr>
      <w:tr w:rsidR="00654F2D" w:rsidRPr="005032E0" w14:paraId="5CCDEA4A" w14:textId="77777777" w:rsidTr="00654F2D">
        <w:trPr>
          <w:trHeight w:val="279"/>
          <w:jc w:val="center"/>
        </w:trPr>
        <w:tc>
          <w:tcPr>
            <w:tcW w:w="1987" w:type="dxa"/>
            <w:tcBorders>
              <w:top w:val="nil"/>
              <w:left w:val="single" w:sz="8" w:space="0" w:color="auto"/>
              <w:bottom w:val="single" w:sz="4" w:space="0" w:color="auto"/>
              <w:right w:val="single" w:sz="4" w:space="0" w:color="auto"/>
            </w:tcBorders>
            <w:shd w:val="clear" w:color="auto" w:fill="auto"/>
            <w:hideMark/>
          </w:tcPr>
          <w:p w14:paraId="6885115A" w14:textId="77777777" w:rsidR="00654F2D" w:rsidRPr="005032E0" w:rsidRDefault="00654F2D">
            <w:pPr>
              <w:rPr>
                <w:color w:val="000000"/>
                <w:sz w:val="20"/>
                <w:szCs w:val="20"/>
              </w:rPr>
            </w:pPr>
            <w:r w:rsidRPr="005032E0">
              <w:rPr>
                <w:color w:val="000000"/>
                <w:sz w:val="20"/>
                <w:szCs w:val="20"/>
              </w:rPr>
              <w:t>Manufacturing</w:t>
            </w:r>
          </w:p>
        </w:tc>
        <w:tc>
          <w:tcPr>
            <w:tcW w:w="6851" w:type="dxa"/>
            <w:tcBorders>
              <w:top w:val="nil"/>
              <w:left w:val="nil"/>
              <w:bottom w:val="single" w:sz="4" w:space="0" w:color="auto"/>
              <w:right w:val="single" w:sz="8" w:space="0" w:color="auto"/>
            </w:tcBorders>
            <w:shd w:val="clear" w:color="auto" w:fill="auto"/>
            <w:hideMark/>
          </w:tcPr>
          <w:p w14:paraId="53F799A3" w14:textId="1DF0940B" w:rsidR="00654F2D" w:rsidRPr="005032E0" w:rsidRDefault="00654F2D">
            <w:pPr>
              <w:rPr>
                <w:color w:val="000000"/>
                <w:sz w:val="20"/>
                <w:szCs w:val="20"/>
              </w:rPr>
            </w:pPr>
            <w:r w:rsidRPr="005032E0">
              <w:rPr>
                <w:color w:val="000000"/>
                <w:sz w:val="20"/>
                <w:szCs w:val="20"/>
              </w:rPr>
              <w:t>Manufacturing activities % of GVA (NACE section C).</w:t>
            </w:r>
          </w:p>
        </w:tc>
      </w:tr>
      <w:tr w:rsidR="00654F2D" w:rsidRPr="005032E0" w14:paraId="744AFE65" w14:textId="77777777" w:rsidTr="00654F2D">
        <w:trPr>
          <w:trHeight w:val="331"/>
          <w:jc w:val="center"/>
        </w:trPr>
        <w:tc>
          <w:tcPr>
            <w:tcW w:w="1987" w:type="dxa"/>
            <w:tcBorders>
              <w:top w:val="nil"/>
              <w:left w:val="single" w:sz="8" w:space="0" w:color="auto"/>
              <w:bottom w:val="single" w:sz="4" w:space="0" w:color="auto"/>
              <w:right w:val="single" w:sz="4" w:space="0" w:color="auto"/>
            </w:tcBorders>
            <w:shd w:val="clear" w:color="auto" w:fill="auto"/>
            <w:hideMark/>
          </w:tcPr>
          <w:p w14:paraId="62A1FE2F" w14:textId="77777777" w:rsidR="00654F2D" w:rsidRPr="005032E0" w:rsidRDefault="00654F2D">
            <w:pPr>
              <w:rPr>
                <w:color w:val="000000"/>
                <w:sz w:val="20"/>
                <w:szCs w:val="20"/>
              </w:rPr>
            </w:pPr>
            <w:r w:rsidRPr="005032E0">
              <w:rPr>
                <w:color w:val="000000"/>
                <w:sz w:val="20"/>
                <w:szCs w:val="20"/>
              </w:rPr>
              <w:t>Construction</w:t>
            </w:r>
          </w:p>
        </w:tc>
        <w:tc>
          <w:tcPr>
            <w:tcW w:w="6851" w:type="dxa"/>
            <w:tcBorders>
              <w:top w:val="nil"/>
              <w:left w:val="nil"/>
              <w:bottom w:val="single" w:sz="4" w:space="0" w:color="auto"/>
              <w:right w:val="single" w:sz="8" w:space="0" w:color="auto"/>
            </w:tcBorders>
            <w:shd w:val="clear" w:color="auto" w:fill="auto"/>
            <w:hideMark/>
          </w:tcPr>
          <w:p w14:paraId="7BA14117" w14:textId="1C8B12EF" w:rsidR="00654F2D" w:rsidRPr="005032E0" w:rsidRDefault="00654F2D">
            <w:pPr>
              <w:rPr>
                <w:color w:val="000000"/>
                <w:sz w:val="20"/>
                <w:szCs w:val="20"/>
              </w:rPr>
            </w:pPr>
            <w:r w:rsidRPr="005032E0">
              <w:rPr>
                <w:color w:val="000000"/>
                <w:sz w:val="20"/>
                <w:szCs w:val="20"/>
              </w:rPr>
              <w:t>Construction activities % of GVA (NACE section F).</w:t>
            </w:r>
          </w:p>
        </w:tc>
      </w:tr>
      <w:tr w:rsidR="00654F2D" w:rsidRPr="005032E0" w14:paraId="2FF536B0" w14:textId="77777777" w:rsidTr="00654F2D">
        <w:trPr>
          <w:trHeight w:val="1004"/>
          <w:jc w:val="center"/>
        </w:trPr>
        <w:tc>
          <w:tcPr>
            <w:tcW w:w="1987" w:type="dxa"/>
            <w:tcBorders>
              <w:top w:val="nil"/>
              <w:left w:val="single" w:sz="8" w:space="0" w:color="auto"/>
              <w:bottom w:val="single" w:sz="4" w:space="0" w:color="auto"/>
              <w:right w:val="single" w:sz="4" w:space="0" w:color="auto"/>
            </w:tcBorders>
            <w:shd w:val="clear" w:color="auto" w:fill="auto"/>
            <w:hideMark/>
          </w:tcPr>
          <w:p w14:paraId="7C0E7062" w14:textId="77777777" w:rsidR="00654F2D" w:rsidRPr="005032E0" w:rsidRDefault="00654F2D">
            <w:pPr>
              <w:rPr>
                <w:color w:val="000000"/>
                <w:sz w:val="20"/>
                <w:szCs w:val="20"/>
              </w:rPr>
            </w:pPr>
            <w:r w:rsidRPr="005032E0">
              <w:rPr>
                <w:color w:val="000000"/>
                <w:sz w:val="20"/>
                <w:szCs w:val="20"/>
              </w:rPr>
              <w:t xml:space="preserve">Services </w:t>
            </w:r>
          </w:p>
        </w:tc>
        <w:tc>
          <w:tcPr>
            <w:tcW w:w="6851" w:type="dxa"/>
            <w:tcBorders>
              <w:top w:val="nil"/>
              <w:left w:val="nil"/>
              <w:bottom w:val="single" w:sz="4" w:space="0" w:color="auto"/>
              <w:right w:val="single" w:sz="8" w:space="0" w:color="auto"/>
            </w:tcBorders>
            <w:shd w:val="clear" w:color="auto" w:fill="auto"/>
            <w:hideMark/>
          </w:tcPr>
          <w:p w14:paraId="50FA5E01" w14:textId="77777777" w:rsidR="00654F2D" w:rsidRPr="005032E0" w:rsidRDefault="00654F2D">
            <w:pPr>
              <w:rPr>
                <w:color w:val="000000"/>
                <w:sz w:val="20"/>
                <w:szCs w:val="20"/>
              </w:rPr>
            </w:pPr>
            <w:r w:rsidRPr="005032E0">
              <w:rPr>
                <w:color w:val="000000"/>
                <w:sz w:val="20"/>
                <w:szCs w:val="20"/>
              </w:rPr>
              <w:t>Professional, scientific and technical activities, administrative and support service activities, financial and insurance activities, real estate activities, and wholesale and retail trade, transport, accommodation and food service activities % of GVA (NACE sections: G, H, I, K, L, M, N).</w:t>
            </w:r>
          </w:p>
        </w:tc>
      </w:tr>
      <w:tr w:rsidR="00654F2D" w:rsidRPr="005032E0" w14:paraId="0E40874D" w14:textId="77777777" w:rsidTr="00654F2D">
        <w:trPr>
          <w:trHeight w:val="277"/>
          <w:jc w:val="center"/>
        </w:trPr>
        <w:tc>
          <w:tcPr>
            <w:tcW w:w="1987" w:type="dxa"/>
            <w:tcBorders>
              <w:top w:val="nil"/>
              <w:left w:val="single" w:sz="8" w:space="0" w:color="auto"/>
              <w:bottom w:val="single" w:sz="4" w:space="0" w:color="auto"/>
              <w:right w:val="single" w:sz="4" w:space="0" w:color="auto"/>
            </w:tcBorders>
            <w:shd w:val="clear" w:color="auto" w:fill="auto"/>
            <w:hideMark/>
          </w:tcPr>
          <w:p w14:paraId="6D3FCE1C" w14:textId="77777777" w:rsidR="00654F2D" w:rsidRPr="005032E0" w:rsidRDefault="00654F2D">
            <w:pPr>
              <w:rPr>
                <w:color w:val="000000"/>
                <w:sz w:val="20"/>
                <w:szCs w:val="20"/>
              </w:rPr>
            </w:pPr>
            <w:r w:rsidRPr="005032E0">
              <w:rPr>
                <w:color w:val="000000"/>
                <w:sz w:val="20"/>
                <w:szCs w:val="20"/>
              </w:rPr>
              <w:t>Public sector</w:t>
            </w:r>
          </w:p>
        </w:tc>
        <w:tc>
          <w:tcPr>
            <w:tcW w:w="6851" w:type="dxa"/>
            <w:tcBorders>
              <w:top w:val="nil"/>
              <w:left w:val="nil"/>
              <w:bottom w:val="single" w:sz="4" w:space="0" w:color="auto"/>
              <w:right w:val="single" w:sz="8" w:space="0" w:color="auto"/>
            </w:tcBorders>
            <w:shd w:val="clear" w:color="auto" w:fill="auto"/>
            <w:hideMark/>
          </w:tcPr>
          <w:p w14:paraId="43D2EFA6" w14:textId="6FB0615A" w:rsidR="00654F2D" w:rsidRPr="005032E0" w:rsidRDefault="00654F2D">
            <w:pPr>
              <w:rPr>
                <w:color w:val="000000"/>
                <w:sz w:val="20"/>
                <w:szCs w:val="20"/>
              </w:rPr>
            </w:pPr>
            <w:r w:rsidRPr="005032E0">
              <w:rPr>
                <w:color w:val="000000"/>
                <w:sz w:val="20"/>
                <w:szCs w:val="20"/>
              </w:rPr>
              <w:t>Public administration, defense, education, human. health and social work activities % of GVA (NACE sections O, P, Q).</w:t>
            </w:r>
          </w:p>
        </w:tc>
      </w:tr>
      <w:tr w:rsidR="00654F2D" w:rsidRPr="005032E0" w14:paraId="1CDE6C75" w14:textId="77777777" w:rsidTr="00654F2D">
        <w:trPr>
          <w:trHeight w:val="220"/>
          <w:jc w:val="center"/>
        </w:trPr>
        <w:tc>
          <w:tcPr>
            <w:tcW w:w="8838" w:type="dxa"/>
            <w:gridSpan w:val="2"/>
            <w:tcBorders>
              <w:top w:val="single" w:sz="4" w:space="0" w:color="auto"/>
              <w:left w:val="single" w:sz="8" w:space="0" w:color="auto"/>
              <w:bottom w:val="single" w:sz="4" w:space="0" w:color="auto"/>
              <w:right w:val="single" w:sz="8" w:space="0" w:color="000000"/>
            </w:tcBorders>
            <w:shd w:val="clear" w:color="auto" w:fill="auto"/>
            <w:hideMark/>
          </w:tcPr>
          <w:p w14:paraId="5C936033" w14:textId="77777777" w:rsidR="00654F2D" w:rsidRPr="005032E0" w:rsidRDefault="00654F2D">
            <w:pPr>
              <w:rPr>
                <w:i/>
                <w:iCs/>
                <w:color w:val="000000"/>
                <w:sz w:val="20"/>
                <w:szCs w:val="20"/>
              </w:rPr>
            </w:pPr>
            <w:r w:rsidRPr="005032E0">
              <w:rPr>
                <w:i/>
                <w:iCs/>
                <w:color w:val="000000"/>
                <w:sz w:val="20"/>
                <w:szCs w:val="20"/>
              </w:rPr>
              <w:t>Technological Structure of Economy</w:t>
            </w:r>
          </w:p>
        </w:tc>
      </w:tr>
      <w:tr w:rsidR="00654F2D" w:rsidRPr="005032E0" w14:paraId="3BC3698F" w14:textId="77777777" w:rsidTr="00654F2D">
        <w:trPr>
          <w:trHeight w:val="126"/>
          <w:jc w:val="center"/>
        </w:trPr>
        <w:tc>
          <w:tcPr>
            <w:tcW w:w="1987" w:type="dxa"/>
            <w:tcBorders>
              <w:top w:val="nil"/>
              <w:left w:val="single" w:sz="8" w:space="0" w:color="auto"/>
              <w:bottom w:val="single" w:sz="4" w:space="0" w:color="auto"/>
              <w:right w:val="single" w:sz="4" w:space="0" w:color="auto"/>
            </w:tcBorders>
            <w:shd w:val="clear" w:color="auto" w:fill="auto"/>
            <w:hideMark/>
          </w:tcPr>
          <w:p w14:paraId="1BF37582" w14:textId="328FA05E" w:rsidR="00654F2D" w:rsidRPr="005032E0" w:rsidRDefault="00654F2D">
            <w:pPr>
              <w:rPr>
                <w:color w:val="000000"/>
                <w:sz w:val="20"/>
                <w:szCs w:val="20"/>
              </w:rPr>
            </w:pPr>
            <w:r w:rsidRPr="005032E0">
              <w:rPr>
                <w:color w:val="000000"/>
                <w:sz w:val="20"/>
                <w:szCs w:val="20"/>
              </w:rPr>
              <w:t>High-tech</w:t>
            </w:r>
          </w:p>
        </w:tc>
        <w:tc>
          <w:tcPr>
            <w:tcW w:w="6851" w:type="dxa"/>
            <w:tcBorders>
              <w:top w:val="nil"/>
              <w:left w:val="nil"/>
              <w:bottom w:val="single" w:sz="4" w:space="0" w:color="auto"/>
              <w:right w:val="single" w:sz="8" w:space="0" w:color="auto"/>
            </w:tcBorders>
            <w:shd w:val="clear" w:color="auto" w:fill="auto"/>
            <w:hideMark/>
          </w:tcPr>
          <w:p w14:paraId="65EFCE1F" w14:textId="285C7173" w:rsidR="00654F2D" w:rsidRPr="005032E0" w:rsidRDefault="00654F2D">
            <w:pPr>
              <w:rPr>
                <w:color w:val="000000"/>
                <w:sz w:val="20"/>
                <w:szCs w:val="20"/>
              </w:rPr>
            </w:pPr>
            <w:r w:rsidRPr="005032E0">
              <w:rPr>
                <w:color w:val="000000"/>
                <w:sz w:val="20"/>
                <w:szCs w:val="20"/>
              </w:rPr>
              <w:t>% of high technology in  GVA (NACE 2-digit level: 21, 26).</w:t>
            </w:r>
          </w:p>
        </w:tc>
      </w:tr>
      <w:tr w:rsidR="00654F2D" w:rsidRPr="005032E0" w14:paraId="7C49BC76" w14:textId="77777777" w:rsidTr="00654F2D">
        <w:trPr>
          <w:trHeight w:val="232"/>
          <w:jc w:val="center"/>
        </w:trPr>
        <w:tc>
          <w:tcPr>
            <w:tcW w:w="1987" w:type="dxa"/>
            <w:tcBorders>
              <w:top w:val="nil"/>
              <w:left w:val="single" w:sz="8" w:space="0" w:color="auto"/>
              <w:bottom w:val="single" w:sz="4" w:space="0" w:color="auto"/>
              <w:right w:val="single" w:sz="4" w:space="0" w:color="auto"/>
            </w:tcBorders>
            <w:shd w:val="clear" w:color="auto" w:fill="auto"/>
            <w:hideMark/>
          </w:tcPr>
          <w:p w14:paraId="52B554CF" w14:textId="7CE80FC0" w:rsidR="00654F2D" w:rsidRPr="005032E0" w:rsidRDefault="00654F2D">
            <w:pPr>
              <w:rPr>
                <w:color w:val="000000"/>
                <w:sz w:val="20"/>
                <w:szCs w:val="20"/>
              </w:rPr>
            </w:pPr>
            <w:r w:rsidRPr="005032E0">
              <w:rPr>
                <w:color w:val="000000"/>
                <w:sz w:val="20"/>
                <w:szCs w:val="20"/>
              </w:rPr>
              <w:t>Medium-tech</w:t>
            </w:r>
          </w:p>
        </w:tc>
        <w:tc>
          <w:tcPr>
            <w:tcW w:w="6851" w:type="dxa"/>
            <w:tcBorders>
              <w:top w:val="nil"/>
              <w:left w:val="nil"/>
              <w:bottom w:val="single" w:sz="4" w:space="0" w:color="auto"/>
              <w:right w:val="single" w:sz="8" w:space="0" w:color="auto"/>
            </w:tcBorders>
            <w:shd w:val="clear" w:color="auto" w:fill="auto"/>
            <w:hideMark/>
          </w:tcPr>
          <w:p w14:paraId="11837C71" w14:textId="67865AF6" w:rsidR="00654F2D" w:rsidRPr="005032E0" w:rsidRDefault="00654F2D">
            <w:pPr>
              <w:rPr>
                <w:color w:val="000000"/>
                <w:sz w:val="20"/>
                <w:szCs w:val="20"/>
              </w:rPr>
            </w:pPr>
            <w:r w:rsidRPr="005032E0">
              <w:rPr>
                <w:color w:val="000000"/>
                <w:sz w:val="20"/>
                <w:szCs w:val="20"/>
              </w:rPr>
              <w:t>% of medium technology in GVA (NACE 2-digit level: 19, 20, 22-25, 27-30, 33).</w:t>
            </w:r>
          </w:p>
        </w:tc>
      </w:tr>
      <w:tr w:rsidR="00654F2D" w:rsidRPr="005032E0" w14:paraId="66AE61F3" w14:textId="77777777" w:rsidTr="00654F2D">
        <w:trPr>
          <w:trHeight w:val="247"/>
          <w:jc w:val="center"/>
        </w:trPr>
        <w:tc>
          <w:tcPr>
            <w:tcW w:w="1987" w:type="dxa"/>
            <w:tcBorders>
              <w:top w:val="nil"/>
              <w:left w:val="single" w:sz="8" w:space="0" w:color="auto"/>
              <w:bottom w:val="single" w:sz="8" w:space="0" w:color="auto"/>
              <w:right w:val="single" w:sz="4" w:space="0" w:color="auto"/>
            </w:tcBorders>
            <w:shd w:val="clear" w:color="auto" w:fill="auto"/>
            <w:hideMark/>
          </w:tcPr>
          <w:p w14:paraId="33CFEAA9" w14:textId="2362E804" w:rsidR="00654F2D" w:rsidRPr="005032E0" w:rsidRDefault="00654F2D">
            <w:pPr>
              <w:rPr>
                <w:color w:val="000000"/>
                <w:sz w:val="20"/>
                <w:szCs w:val="20"/>
              </w:rPr>
            </w:pPr>
            <w:r w:rsidRPr="005032E0">
              <w:rPr>
                <w:color w:val="000000"/>
                <w:sz w:val="20"/>
                <w:szCs w:val="20"/>
              </w:rPr>
              <w:t>Low-tech</w:t>
            </w:r>
          </w:p>
        </w:tc>
        <w:tc>
          <w:tcPr>
            <w:tcW w:w="6851" w:type="dxa"/>
            <w:tcBorders>
              <w:top w:val="nil"/>
              <w:left w:val="nil"/>
              <w:bottom w:val="single" w:sz="8" w:space="0" w:color="auto"/>
              <w:right w:val="single" w:sz="8" w:space="0" w:color="auto"/>
            </w:tcBorders>
            <w:shd w:val="clear" w:color="auto" w:fill="auto"/>
            <w:hideMark/>
          </w:tcPr>
          <w:p w14:paraId="4A6A2F88" w14:textId="3BBA8795" w:rsidR="00654F2D" w:rsidRPr="005032E0" w:rsidRDefault="00654F2D">
            <w:pPr>
              <w:rPr>
                <w:color w:val="000000"/>
                <w:sz w:val="20"/>
                <w:szCs w:val="20"/>
              </w:rPr>
            </w:pPr>
            <w:r w:rsidRPr="005032E0">
              <w:rPr>
                <w:color w:val="000000"/>
                <w:sz w:val="20"/>
                <w:szCs w:val="20"/>
              </w:rPr>
              <w:t>% of low technology in GVA (NACE 2-digit level: 10-17, 18, 31, 32).</w:t>
            </w:r>
          </w:p>
        </w:tc>
      </w:tr>
    </w:tbl>
    <w:p w14:paraId="33501768" w14:textId="77777777" w:rsidR="00186CE3" w:rsidRDefault="00186CE3" w:rsidP="00186CE3">
      <w:pPr>
        <w:jc w:val="both"/>
      </w:pPr>
    </w:p>
    <w:p w14:paraId="7B7356BB" w14:textId="6CC644B5" w:rsidR="00654F2D" w:rsidRPr="00654F2D" w:rsidRDefault="00654F2D" w:rsidP="00186CE3">
      <w:pPr>
        <w:jc w:val="both"/>
        <w:rPr>
          <w:sz w:val="20"/>
        </w:rPr>
      </w:pPr>
      <w:r>
        <w:rPr>
          <w:sz w:val="20"/>
        </w:rPr>
        <w:t>Source: Eurostat (2019b).</w:t>
      </w:r>
    </w:p>
    <w:p w14:paraId="4C5D164F" w14:textId="77777777" w:rsidR="00654F2D" w:rsidRDefault="00654F2D" w:rsidP="00186CE3">
      <w:pPr>
        <w:jc w:val="both"/>
      </w:pPr>
    </w:p>
    <w:p w14:paraId="229EC1B5" w14:textId="6FC4579F" w:rsidR="00186CE3" w:rsidRDefault="00186CE3" w:rsidP="00186CE3">
      <w:pPr>
        <w:jc w:val="both"/>
      </w:pPr>
      <w:r>
        <w:t>Lastly, to control for the time specific effects, the authors include the year dummy variables.</w:t>
      </w:r>
    </w:p>
    <w:p w14:paraId="5A626406" w14:textId="0BA41E5D" w:rsidR="007107DE" w:rsidRDefault="007107DE" w:rsidP="00186CE3">
      <w:pPr>
        <w:jc w:val="both"/>
      </w:pPr>
    </w:p>
    <w:p w14:paraId="322D83A4" w14:textId="17200AB7" w:rsidR="007107DE" w:rsidRDefault="007107DE" w:rsidP="00186CE3">
      <w:pPr>
        <w:jc w:val="both"/>
      </w:pPr>
    </w:p>
    <w:p w14:paraId="4347C3AE" w14:textId="77777777" w:rsidR="007107DE" w:rsidRDefault="007107DE" w:rsidP="00186CE3">
      <w:pPr>
        <w:jc w:val="both"/>
      </w:pPr>
    </w:p>
    <w:p w14:paraId="3F79F6D3" w14:textId="77777777" w:rsidR="00186CE3" w:rsidRDefault="00186CE3" w:rsidP="00186CE3">
      <w:pPr>
        <w:rPr>
          <w:lang w:val="en-GB"/>
        </w:rPr>
      </w:pPr>
    </w:p>
    <w:p w14:paraId="44FECDBA" w14:textId="608361E0" w:rsidR="00186CE3" w:rsidRDefault="00186CE3" w:rsidP="00186CE3">
      <w:pPr>
        <w:pStyle w:val="ListParagraph"/>
        <w:numPr>
          <w:ilvl w:val="0"/>
          <w:numId w:val="13"/>
        </w:numPr>
        <w:rPr>
          <w:b/>
          <w:lang w:val="en-GB"/>
        </w:rPr>
      </w:pPr>
      <w:r w:rsidRPr="006833C4">
        <w:rPr>
          <w:b/>
          <w:lang w:val="en-GB"/>
        </w:rPr>
        <w:lastRenderedPageBreak/>
        <w:t>T</w:t>
      </w:r>
      <w:r w:rsidR="00D51097">
        <w:rPr>
          <w:b/>
          <w:lang w:val="en-GB"/>
        </w:rPr>
        <w:t>HE RESULTS</w:t>
      </w:r>
    </w:p>
    <w:p w14:paraId="7E272093" w14:textId="77777777" w:rsidR="00186CE3" w:rsidRDefault="00186CE3" w:rsidP="00186CE3">
      <w:pPr>
        <w:jc w:val="both"/>
        <w:rPr>
          <w:lang w:val="en-GB"/>
        </w:rPr>
      </w:pPr>
    </w:p>
    <w:p w14:paraId="3E199699" w14:textId="77777777" w:rsidR="00186CE3" w:rsidRDefault="00186CE3" w:rsidP="00186CE3">
      <w:pPr>
        <w:jc w:val="both"/>
        <w:rPr>
          <w:lang w:val="en-GB"/>
        </w:rPr>
      </w:pPr>
      <w:r>
        <w:rPr>
          <w:lang w:val="en-GB"/>
        </w:rPr>
        <w:t>The aforementioned model was tested through the usage of various statistical approaches: the pooled model, the fixed-effects model (with/without lags), the random-effects model (with/without lags), and the dynamic panel model. Amongst the used models, the fixed-effect (without lags) proved to be best suited for the present study. Accordingly, the analysis has led to findings that are presented in the following two tables and subsequently elaborated within the six mutually connected and exhaustive points.</w:t>
      </w:r>
    </w:p>
    <w:p w14:paraId="76B33456" w14:textId="77777777" w:rsidR="00186CE3" w:rsidRPr="00AE221C" w:rsidRDefault="00186CE3" w:rsidP="00186CE3">
      <w:pPr>
        <w:jc w:val="both"/>
      </w:pPr>
    </w:p>
    <w:p w14:paraId="53EBAF64" w14:textId="21236A8D" w:rsidR="00186CE3" w:rsidRPr="00D51097" w:rsidRDefault="00186CE3" w:rsidP="00186CE3">
      <w:pPr>
        <w:jc w:val="both"/>
        <w:rPr>
          <w:i/>
          <w:sz w:val="20"/>
        </w:rPr>
      </w:pPr>
      <w:r w:rsidRPr="00D51097">
        <w:rPr>
          <w:i/>
          <w:sz w:val="20"/>
        </w:rPr>
        <w:t>Table 2. The influence of the sectorial composition on the Eurozone's cross-country inequality (2003-2016)</w:t>
      </w:r>
    </w:p>
    <w:p w14:paraId="13B47BC1" w14:textId="77777777" w:rsidR="00186CE3" w:rsidRDefault="00186CE3" w:rsidP="00186CE3"/>
    <w:tbl>
      <w:tblPr>
        <w:tblW w:w="7016" w:type="dxa"/>
        <w:jc w:val="center"/>
        <w:tblLook w:val="04A0" w:firstRow="1" w:lastRow="0" w:firstColumn="1" w:lastColumn="0" w:noHBand="0" w:noVBand="1"/>
      </w:tblPr>
      <w:tblGrid>
        <w:gridCol w:w="1461"/>
        <w:gridCol w:w="1166"/>
        <w:gridCol w:w="1266"/>
        <w:gridCol w:w="1266"/>
        <w:gridCol w:w="1066"/>
        <w:gridCol w:w="1166"/>
        <w:gridCol w:w="1205"/>
      </w:tblGrid>
      <w:tr w:rsidR="00186CE3" w:rsidRPr="001A1CE1" w14:paraId="46BBA21C" w14:textId="77777777" w:rsidTr="00E8795E">
        <w:trPr>
          <w:trHeight w:val="666"/>
          <w:jc w:val="center"/>
        </w:trPr>
        <w:tc>
          <w:tcPr>
            <w:tcW w:w="12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0DFC4839"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Dependent</w:t>
            </w:r>
            <w:r w:rsidRPr="001A1CE1">
              <w:rPr>
                <w:rFonts w:ascii="TimesNewRomanPSMT" w:hAnsi="TimesNewRomanPSMT" w:cs="TimesNewRomanPSMT"/>
                <w:color w:val="000000"/>
                <w:sz w:val="20"/>
                <w:szCs w:val="20"/>
                <w:lang w:val="en-GB"/>
              </w:rPr>
              <w:br/>
              <w:t>variable</w:t>
            </w:r>
          </w:p>
        </w:tc>
        <w:tc>
          <w:tcPr>
            <w:tcW w:w="958" w:type="dxa"/>
            <w:tcBorders>
              <w:top w:val="single" w:sz="8" w:space="0" w:color="auto"/>
              <w:left w:val="nil"/>
              <w:bottom w:val="single" w:sz="8" w:space="0" w:color="auto"/>
              <w:right w:val="single" w:sz="4" w:space="0" w:color="auto"/>
            </w:tcBorders>
            <w:shd w:val="clear" w:color="000000" w:fill="D9D9D9"/>
            <w:vAlign w:val="center"/>
            <w:hideMark/>
          </w:tcPr>
          <w:p w14:paraId="226B7386"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b/>
                <w:bCs/>
                <w:color w:val="000000"/>
                <w:sz w:val="20"/>
                <w:szCs w:val="20"/>
                <w:lang w:val="en-GB"/>
              </w:rPr>
              <w:t>Model 1a</w:t>
            </w:r>
            <w:r w:rsidRPr="001A1CE1">
              <w:rPr>
                <w:rFonts w:ascii="TimesNewRomanPSMT" w:hAnsi="TimesNewRomanPSMT" w:cs="TimesNewRomanPSMT"/>
                <w:color w:val="000000"/>
                <w:sz w:val="20"/>
                <w:szCs w:val="20"/>
                <w:lang w:val="en-GB"/>
              </w:rPr>
              <w:br/>
              <w:t>Price effect</w:t>
            </w:r>
          </w:p>
        </w:tc>
        <w:tc>
          <w:tcPr>
            <w:tcW w:w="1040" w:type="dxa"/>
            <w:tcBorders>
              <w:top w:val="single" w:sz="8" w:space="0" w:color="auto"/>
              <w:left w:val="nil"/>
              <w:bottom w:val="single" w:sz="8" w:space="0" w:color="auto"/>
              <w:right w:val="single" w:sz="4" w:space="0" w:color="auto"/>
            </w:tcBorders>
            <w:shd w:val="clear" w:color="000000" w:fill="D9D9D9"/>
            <w:vAlign w:val="center"/>
            <w:hideMark/>
          </w:tcPr>
          <w:p w14:paraId="0F3B93BB"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b/>
                <w:bCs/>
                <w:color w:val="000000"/>
                <w:sz w:val="20"/>
                <w:szCs w:val="20"/>
                <w:lang w:val="en-GB"/>
              </w:rPr>
              <w:t>Model 2a</w:t>
            </w:r>
            <w:r w:rsidRPr="001A1CE1">
              <w:rPr>
                <w:rFonts w:ascii="TimesNewRomanPSMT" w:hAnsi="TimesNewRomanPSMT" w:cs="TimesNewRomanPSMT"/>
                <w:color w:val="000000"/>
                <w:sz w:val="20"/>
                <w:szCs w:val="20"/>
                <w:lang w:val="en-GB"/>
              </w:rPr>
              <w:br/>
              <w:t>Efficiency effect</w:t>
            </w:r>
          </w:p>
        </w:tc>
        <w:tc>
          <w:tcPr>
            <w:tcW w:w="1040" w:type="dxa"/>
            <w:tcBorders>
              <w:top w:val="single" w:sz="8" w:space="0" w:color="auto"/>
              <w:left w:val="nil"/>
              <w:bottom w:val="single" w:sz="8" w:space="0" w:color="auto"/>
              <w:right w:val="single" w:sz="4" w:space="0" w:color="auto"/>
            </w:tcBorders>
            <w:shd w:val="clear" w:color="000000" w:fill="D9D9D9"/>
            <w:vAlign w:val="center"/>
            <w:hideMark/>
          </w:tcPr>
          <w:p w14:paraId="7B9F1B50"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b/>
                <w:bCs/>
                <w:color w:val="000000"/>
                <w:sz w:val="20"/>
                <w:szCs w:val="20"/>
                <w:lang w:val="en-GB"/>
              </w:rPr>
              <w:t>Model 3a</w:t>
            </w:r>
            <w:r w:rsidRPr="001A1CE1">
              <w:rPr>
                <w:rFonts w:ascii="TimesNewRomanPSMT" w:hAnsi="TimesNewRomanPSMT" w:cs="TimesNewRomanPSMT"/>
                <w:color w:val="000000"/>
                <w:sz w:val="20"/>
                <w:szCs w:val="20"/>
                <w:lang w:val="en-GB"/>
              </w:rPr>
              <w:br/>
              <w:t>Labour recognition</w:t>
            </w:r>
          </w:p>
        </w:tc>
        <w:tc>
          <w:tcPr>
            <w:tcW w:w="875" w:type="dxa"/>
            <w:tcBorders>
              <w:top w:val="single" w:sz="8" w:space="0" w:color="auto"/>
              <w:left w:val="nil"/>
              <w:bottom w:val="single" w:sz="8" w:space="0" w:color="auto"/>
              <w:right w:val="single" w:sz="4" w:space="0" w:color="auto"/>
            </w:tcBorders>
            <w:shd w:val="clear" w:color="000000" w:fill="D9D9D9"/>
            <w:vAlign w:val="center"/>
            <w:hideMark/>
          </w:tcPr>
          <w:p w14:paraId="21E7B69D"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b/>
                <w:bCs/>
                <w:color w:val="000000"/>
                <w:sz w:val="20"/>
                <w:szCs w:val="20"/>
                <w:lang w:val="en-GB"/>
              </w:rPr>
              <w:t>Model 4a</w:t>
            </w:r>
            <w:r w:rsidRPr="001A1CE1">
              <w:rPr>
                <w:rFonts w:ascii="TimesNewRomanPSMT" w:hAnsi="TimesNewRomanPSMT" w:cs="TimesNewRomanPSMT"/>
                <w:color w:val="000000"/>
                <w:sz w:val="20"/>
                <w:szCs w:val="20"/>
                <w:lang w:val="en-GB"/>
              </w:rPr>
              <w:br/>
              <w:t>Profit rate</w:t>
            </w:r>
          </w:p>
        </w:tc>
        <w:tc>
          <w:tcPr>
            <w:tcW w:w="958" w:type="dxa"/>
            <w:tcBorders>
              <w:top w:val="single" w:sz="8" w:space="0" w:color="auto"/>
              <w:left w:val="nil"/>
              <w:bottom w:val="single" w:sz="8" w:space="0" w:color="auto"/>
              <w:right w:val="single" w:sz="4" w:space="0" w:color="auto"/>
            </w:tcBorders>
            <w:shd w:val="clear" w:color="000000" w:fill="D9D9D9"/>
            <w:vAlign w:val="center"/>
            <w:hideMark/>
          </w:tcPr>
          <w:p w14:paraId="515563E6"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b/>
                <w:bCs/>
                <w:color w:val="000000"/>
                <w:sz w:val="20"/>
                <w:szCs w:val="20"/>
                <w:lang w:val="en-GB"/>
              </w:rPr>
              <w:t>Model 5a</w:t>
            </w:r>
            <w:r w:rsidRPr="001A1CE1">
              <w:rPr>
                <w:rFonts w:ascii="TimesNewRomanPSMT" w:hAnsi="TimesNewRomanPSMT" w:cs="TimesNewRomanPSMT"/>
                <w:color w:val="000000"/>
                <w:sz w:val="20"/>
                <w:szCs w:val="20"/>
                <w:lang w:val="en-GB"/>
              </w:rPr>
              <w:br/>
              <w:t>Wage rate</w:t>
            </w:r>
          </w:p>
        </w:tc>
        <w:tc>
          <w:tcPr>
            <w:tcW w:w="945" w:type="dxa"/>
            <w:tcBorders>
              <w:top w:val="single" w:sz="8" w:space="0" w:color="auto"/>
              <w:left w:val="nil"/>
              <w:bottom w:val="single" w:sz="8" w:space="0" w:color="auto"/>
              <w:right w:val="single" w:sz="8" w:space="0" w:color="auto"/>
            </w:tcBorders>
            <w:shd w:val="clear" w:color="000000" w:fill="D9D9D9"/>
            <w:vAlign w:val="center"/>
            <w:hideMark/>
          </w:tcPr>
          <w:p w14:paraId="53E6579A"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b/>
                <w:bCs/>
                <w:color w:val="000000"/>
                <w:sz w:val="20"/>
                <w:szCs w:val="20"/>
                <w:lang w:val="en-GB"/>
              </w:rPr>
              <w:t>Model 6a</w:t>
            </w:r>
            <w:r w:rsidRPr="001A1CE1">
              <w:rPr>
                <w:rFonts w:ascii="TimesNewRomanPSMT" w:hAnsi="TimesNewRomanPSMT" w:cs="TimesNewRomanPSMT"/>
                <w:color w:val="000000"/>
                <w:sz w:val="20"/>
                <w:szCs w:val="20"/>
                <w:lang w:val="en-GB"/>
              </w:rPr>
              <w:br/>
              <w:t>Exploitation</w:t>
            </w:r>
          </w:p>
        </w:tc>
      </w:tr>
      <w:tr w:rsidR="00186CE3" w:rsidRPr="001A1CE1" w14:paraId="34EDCA80" w14:textId="77777777" w:rsidTr="00E8795E">
        <w:trPr>
          <w:trHeight w:val="243"/>
          <w:jc w:val="center"/>
        </w:trPr>
        <w:tc>
          <w:tcPr>
            <w:tcW w:w="1200" w:type="dxa"/>
            <w:tcBorders>
              <w:top w:val="nil"/>
              <w:left w:val="single" w:sz="8" w:space="0" w:color="auto"/>
              <w:bottom w:val="single" w:sz="4" w:space="0" w:color="auto"/>
              <w:right w:val="single" w:sz="8" w:space="0" w:color="auto"/>
            </w:tcBorders>
            <w:shd w:val="clear" w:color="000000" w:fill="D9D9D9"/>
            <w:noWrap/>
            <w:vAlign w:val="center"/>
            <w:hideMark/>
          </w:tcPr>
          <w:p w14:paraId="2746ECFB"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log GDP</w:t>
            </w:r>
          </w:p>
        </w:tc>
        <w:tc>
          <w:tcPr>
            <w:tcW w:w="958" w:type="dxa"/>
            <w:tcBorders>
              <w:top w:val="nil"/>
              <w:left w:val="nil"/>
              <w:bottom w:val="single" w:sz="4" w:space="0" w:color="auto"/>
              <w:right w:val="single" w:sz="4" w:space="0" w:color="auto"/>
            </w:tcBorders>
            <w:shd w:val="clear" w:color="auto" w:fill="auto"/>
            <w:vAlign w:val="center"/>
            <w:hideMark/>
          </w:tcPr>
          <w:p w14:paraId="66FE26BB"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0.458***</w:t>
            </w:r>
          </w:p>
        </w:tc>
        <w:tc>
          <w:tcPr>
            <w:tcW w:w="1040" w:type="dxa"/>
            <w:tcBorders>
              <w:top w:val="nil"/>
              <w:left w:val="nil"/>
              <w:bottom w:val="single" w:sz="4" w:space="0" w:color="auto"/>
              <w:right w:val="single" w:sz="4" w:space="0" w:color="auto"/>
            </w:tcBorders>
            <w:shd w:val="clear" w:color="auto" w:fill="auto"/>
            <w:vAlign w:val="center"/>
            <w:hideMark/>
          </w:tcPr>
          <w:p w14:paraId="3F20D410"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-0.0230*</w:t>
            </w:r>
          </w:p>
        </w:tc>
        <w:tc>
          <w:tcPr>
            <w:tcW w:w="1040" w:type="dxa"/>
            <w:tcBorders>
              <w:top w:val="nil"/>
              <w:left w:val="nil"/>
              <w:bottom w:val="single" w:sz="4" w:space="0" w:color="auto"/>
              <w:right w:val="single" w:sz="4" w:space="0" w:color="auto"/>
            </w:tcBorders>
            <w:shd w:val="clear" w:color="auto" w:fill="auto"/>
            <w:vAlign w:val="center"/>
            <w:hideMark/>
          </w:tcPr>
          <w:p w14:paraId="69743484"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-0.0389***</w:t>
            </w:r>
          </w:p>
        </w:tc>
        <w:tc>
          <w:tcPr>
            <w:tcW w:w="875" w:type="dxa"/>
            <w:tcBorders>
              <w:top w:val="nil"/>
              <w:left w:val="nil"/>
              <w:bottom w:val="single" w:sz="4" w:space="0" w:color="auto"/>
              <w:right w:val="single" w:sz="4" w:space="0" w:color="auto"/>
            </w:tcBorders>
            <w:shd w:val="clear" w:color="auto" w:fill="auto"/>
            <w:vAlign w:val="center"/>
            <w:hideMark/>
          </w:tcPr>
          <w:p w14:paraId="2A0F8977"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0.677***</w:t>
            </w:r>
          </w:p>
        </w:tc>
        <w:tc>
          <w:tcPr>
            <w:tcW w:w="958" w:type="dxa"/>
            <w:tcBorders>
              <w:top w:val="nil"/>
              <w:left w:val="nil"/>
              <w:bottom w:val="single" w:sz="4" w:space="0" w:color="auto"/>
              <w:right w:val="single" w:sz="4" w:space="0" w:color="auto"/>
            </w:tcBorders>
            <w:shd w:val="clear" w:color="auto" w:fill="auto"/>
            <w:vAlign w:val="center"/>
            <w:hideMark/>
          </w:tcPr>
          <w:p w14:paraId="31196815"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0.0735</w:t>
            </w:r>
          </w:p>
        </w:tc>
        <w:tc>
          <w:tcPr>
            <w:tcW w:w="945" w:type="dxa"/>
            <w:tcBorders>
              <w:top w:val="nil"/>
              <w:left w:val="nil"/>
              <w:bottom w:val="single" w:sz="4" w:space="0" w:color="auto"/>
              <w:right w:val="single" w:sz="8" w:space="0" w:color="auto"/>
            </w:tcBorders>
            <w:shd w:val="clear" w:color="auto" w:fill="auto"/>
            <w:vAlign w:val="center"/>
            <w:hideMark/>
          </w:tcPr>
          <w:p w14:paraId="36BABCE7"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1.850***</w:t>
            </w:r>
          </w:p>
        </w:tc>
      </w:tr>
      <w:tr w:rsidR="00186CE3" w:rsidRPr="001A1CE1" w14:paraId="71D95B3C" w14:textId="77777777" w:rsidTr="00E8795E">
        <w:trPr>
          <w:trHeight w:val="243"/>
          <w:jc w:val="center"/>
        </w:trPr>
        <w:tc>
          <w:tcPr>
            <w:tcW w:w="1200" w:type="dxa"/>
            <w:tcBorders>
              <w:top w:val="nil"/>
              <w:left w:val="single" w:sz="8" w:space="0" w:color="auto"/>
              <w:bottom w:val="single" w:sz="4" w:space="0" w:color="auto"/>
              <w:right w:val="single" w:sz="8" w:space="0" w:color="auto"/>
            </w:tcBorders>
            <w:shd w:val="clear" w:color="000000" w:fill="D9D9D9"/>
            <w:noWrap/>
            <w:vAlign w:val="center"/>
            <w:hideMark/>
          </w:tcPr>
          <w:p w14:paraId="217E6F83"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log GDP p/c</w:t>
            </w:r>
          </w:p>
        </w:tc>
        <w:tc>
          <w:tcPr>
            <w:tcW w:w="958" w:type="dxa"/>
            <w:tcBorders>
              <w:top w:val="nil"/>
              <w:left w:val="nil"/>
              <w:bottom w:val="single" w:sz="4" w:space="0" w:color="auto"/>
              <w:right w:val="single" w:sz="4" w:space="0" w:color="auto"/>
            </w:tcBorders>
            <w:shd w:val="clear" w:color="auto" w:fill="auto"/>
            <w:vAlign w:val="center"/>
            <w:hideMark/>
          </w:tcPr>
          <w:p w14:paraId="0A88B45B"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0.0655</w:t>
            </w:r>
          </w:p>
        </w:tc>
        <w:tc>
          <w:tcPr>
            <w:tcW w:w="1040" w:type="dxa"/>
            <w:tcBorders>
              <w:top w:val="nil"/>
              <w:left w:val="nil"/>
              <w:bottom w:val="single" w:sz="4" w:space="0" w:color="auto"/>
              <w:right w:val="single" w:sz="4" w:space="0" w:color="auto"/>
            </w:tcBorders>
            <w:shd w:val="clear" w:color="auto" w:fill="auto"/>
            <w:vAlign w:val="center"/>
            <w:hideMark/>
          </w:tcPr>
          <w:p w14:paraId="397BD0A4"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0.0255**</w:t>
            </w:r>
          </w:p>
        </w:tc>
        <w:tc>
          <w:tcPr>
            <w:tcW w:w="1040" w:type="dxa"/>
            <w:tcBorders>
              <w:top w:val="nil"/>
              <w:left w:val="nil"/>
              <w:bottom w:val="single" w:sz="4" w:space="0" w:color="auto"/>
              <w:right w:val="single" w:sz="4" w:space="0" w:color="auto"/>
            </w:tcBorders>
            <w:shd w:val="clear" w:color="auto" w:fill="auto"/>
            <w:vAlign w:val="center"/>
            <w:hideMark/>
          </w:tcPr>
          <w:p w14:paraId="5DFFE54A"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0.0730***</w:t>
            </w:r>
          </w:p>
        </w:tc>
        <w:tc>
          <w:tcPr>
            <w:tcW w:w="875" w:type="dxa"/>
            <w:tcBorders>
              <w:top w:val="nil"/>
              <w:left w:val="nil"/>
              <w:bottom w:val="single" w:sz="4" w:space="0" w:color="auto"/>
              <w:right w:val="single" w:sz="4" w:space="0" w:color="auto"/>
            </w:tcBorders>
            <w:shd w:val="clear" w:color="auto" w:fill="auto"/>
            <w:vAlign w:val="center"/>
            <w:hideMark/>
          </w:tcPr>
          <w:p w14:paraId="3D0C2D30"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0.716***</w:t>
            </w:r>
          </w:p>
        </w:tc>
        <w:tc>
          <w:tcPr>
            <w:tcW w:w="958" w:type="dxa"/>
            <w:tcBorders>
              <w:top w:val="nil"/>
              <w:left w:val="nil"/>
              <w:bottom w:val="single" w:sz="4" w:space="0" w:color="auto"/>
              <w:right w:val="single" w:sz="4" w:space="0" w:color="auto"/>
            </w:tcBorders>
            <w:shd w:val="clear" w:color="auto" w:fill="auto"/>
            <w:vAlign w:val="center"/>
            <w:hideMark/>
          </w:tcPr>
          <w:p w14:paraId="172E5418"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0.202***</w:t>
            </w:r>
          </w:p>
        </w:tc>
        <w:tc>
          <w:tcPr>
            <w:tcW w:w="945" w:type="dxa"/>
            <w:tcBorders>
              <w:top w:val="nil"/>
              <w:left w:val="nil"/>
              <w:bottom w:val="single" w:sz="4" w:space="0" w:color="auto"/>
              <w:right w:val="single" w:sz="8" w:space="0" w:color="auto"/>
            </w:tcBorders>
            <w:shd w:val="clear" w:color="auto" w:fill="auto"/>
            <w:vAlign w:val="center"/>
            <w:hideMark/>
          </w:tcPr>
          <w:p w14:paraId="675CE566"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-1.164***</w:t>
            </w:r>
          </w:p>
        </w:tc>
      </w:tr>
      <w:tr w:rsidR="00186CE3" w:rsidRPr="001A1CE1" w14:paraId="1E832077" w14:textId="77777777" w:rsidTr="00E8795E">
        <w:trPr>
          <w:trHeight w:val="422"/>
          <w:jc w:val="center"/>
        </w:trPr>
        <w:tc>
          <w:tcPr>
            <w:tcW w:w="1200" w:type="dxa"/>
            <w:tcBorders>
              <w:top w:val="nil"/>
              <w:left w:val="single" w:sz="8" w:space="0" w:color="auto"/>
              <w:bottom w:val="single" w:sz="4" w:space="0" w:color="auto"/>
              <w:right w:val="single" w:sz="8" w:space="0" w:color="auto"/>
            </w:tcBorders>
            <w:shd w:val="clear" w:color="000000" w:fill="D9D9D9"/>
            <w:vAlign w:val="center"/>
            <w:hideMark/>
          </w:tcPr>
          <w:p w14:paraId="3A8DFD31"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Unemployment rate</w:t>
            </w:r>
          </w:p>
        </w:tc>
        <w:tc>
          <w:tcPr>
            <w:tcW w:w="958" w:type="dxa"/>
            <w:tcBorders>
              <w:top w:val="nil"/>
              <w:left w:val="nil"/>
              <w:bottom w:val="nil"/>
              <w:right w:val="nil"/>
            </w:tcBorders>
            <w:shd w:val="clear" w:color="auto" w:fill="auto"/>
            <w:noWrap/>
            <w:vAlign w:val="center"/>
            <w:hideMark/>
          </w:tcPr>
          <w:p w14:paraId="743705F5" w14:textId="77777777" w:rsidR="00186CE3" w:rsidRPr="001A1CE1" w:rsidRDefault="00186CE3" w:rsidP="00E8795E">
            <w:pPr>
              <w:jc w:val="center"/>
              <w:rPr>
                <w:rFonts w:ascii="TimesNewRomanPSMT" w:hAnsi="TimesNewRomanPSMT" w:cs="TimesNewRomanPSMT"/>
                <w:color w:val="000000"/>
                <w:sz w:val="20"/>
                <w:szCs w:val="20"/>
                <w:lang w:val="en-GB"/>
              </w:rPr>
            </w:pPr>
          </w:p>
        </w:tc>
        <w:tc>
          <w:tcPr>
            <w:tcW w:w="1040" w:type="dxa"/>
            <w:tcBorders>
              <w:top w:val="nil"/>
              <w:left w:val="single" w:sz="4" w:space="0" w:color="auto"/>
              <w:bottom w:val="single" w:sz="4" w:space="0" w:color="auto"/>
              <w:right w:val="single" w:sz="4" w:space="0" w:color="auto"/>
            </w:tcBorders>
            <w:shd w:val="clear" w:color="auto" w:fill="auto"/>
            <w:vAlign w:val="center"/>
            <w:hideMark/>
          </w:tcPr>
          <w:p w14:paraId="7DEC7AF1" w14:textId="77777777" w:rsidR="00186CE3" w:rsidRPr="001A1CE1" w:rsidRDefault="00186CE3" w:rsidP="00E8795E">
            <w:pPr>
              <w:jc w:val="center"/>
              <w:rPr>
                <w:rFonts w:ascii="TimesNewRomanPSMT" w:hAnsi="TimesNewRomanPSMT" w:cs="TimesNewRomanPSMT"/>
                <w:color w:val="000000"/>
                <w:sz w:val="20"/>
                <w:szCs w:val="20"/>
                <w:lang w:val="en-GB"/>
              </w:rPr>
            </w:pPr>
          </w:p>
        </w:tc>
        <w:tc>
          <w:tcPr>
            <w:tcW w:w="1040" w:type="dxa"/>
            <w:tcBorders>
              <w:top w:val="nil"/>
              <w:left w:val="nil"/>
              <w:bottom w:val="single" w:sz="4" w:space="0" w:color="auto"/>
              <w:right w:val="single" w:sz="4" w:space="0" w:color="auto"/>
            </w:tcBorders>
            <w:shd w:val="clear" w:color="auto" w:fill="auto"/>
            <w:vAlign w:val="center"/>
            <w:hideMark/>
          </w:tcPr>
          <w:p w14:paraId="743561F7" w14:textId="77777777" w:rsidR="00186CE3" w:rsidRPr="001A1CE1" w:rsidRDefault="00186CE3" w:rsidP="00E8795E">
            <w:pPr>
              <w:jc w:val="center"/>
              <w:rPr>
                <w:rFonts w:ascii="TimesNewRomanPSMT" w:hAnsi="TimesNewRomanPSMT" w:cs="TimesNewRomanPSMT"/>
                <w:color w:val="000000"/>
                <w:sz w:val="20"/>
                <w:szCs w:val="20"/>
                <w:lang w:val="en-GB"/>
              </w:rPr>
            </w:pPr>
          </w:p>
        </w:tc>
        <w:tc>
          <w:tcPr>
            <w:tcW w:w="875" w:type="dxa"/>
            <w:tcBorders>
              <w:top w:val="nil"/>
              <w:left w:val="nil"/>
              <w:bottom w:val="single" w:sz="4" w:space="0" w:color="auto"/>
              <w:right w:val="single" w:sz="4" w:space="0" w:color="auto"/>
            </w:tcBorders>
            <w:shd w:val="clear" w:color="auto" w:fill="auto"/>
            <w:vAlign w:val="center"/>
            <w:hideMark/>
          </w:tcPr>
          <w:p w14:paraId="3EFC28A8"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0.0229***</w:t>
            </w:r>
          </w:p>
        </w:tc>
        <w:tc>
          <w:tcPr>
            <w:tcW w:w="958" w:type="dxa"/>
            <w:tcBorders>
              <w:top w:val="nil"/>
              <w:left w:val="nil"/>
              <w:bottom w:val="single" w:sz="4" w:space="0" w:color="auto"/>
              <w:right w:val="single" w:sz="4" w:space="0" w:color="auto"/>
            </w:tcBorders>
            <w:shd w:val="clear" w:color="auto" w:fill="auto"/>
            <w:vAlign w:val="center"/>
            <w:hideMark/>
          </w:tcPr>
          <w:p w14:paraId="6AB08C78"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-0.00132</w:t>
            </w:r>
          </w:p>
        </w:tc>
        <w:tc>
          <w:tcPr>
            <w:tcW w:w="945" w:type="dxa"/>
            <w:tcBorders>
              <w:top w:val="nil"/>
              <w:left w:val="nil"/>
              <w:bottom w:val="single" w:sz="4" w:space="0" w:color="auto"/>
              <w:right w:val="single" w:sz="8" w:space="0" w:color="auto"/>
            </w:tcBorders>
            <w:shd w:val="clear" w:color="auto" w:fill="auto"/>
            <w:vAlign w:val="center"/>
            <w:hideMark/>
          </w:tcPr>
          <w:p w14:paraId="1209D6D3"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-0.0138***</w:t>
            </w:r>
          </w:p>
        </w:tc>
      </w:tr>
      <w:tr w:rsidR="00186CE3" w:rsidRPr="001A1CE1" w14:paraId="10F4C150" w14:textId="77777777" w:rsidTr="00E8795E">
        <w:trPr>
          <w:trHeight w:val="217"/>
          <w:jc w:val="center"/>
        </w:trPr>
        <w:tc>
          <w:tcPr>
            <w:tcW w:w="1200" w:type="dxa"/>
            <w:tcBorders>
              <w:top w:val="nil"/>
              <w:left w:val="single" w:sz="8" w:space="0" w:color="auto"/>
              <w:bottom w:val="single" w:sz="4" w:space="0" w:color="auto"/>
              <w:right w:val="single" w:sz="8" w:space="0" w:color="auto"/>
            </w:tcBorders>
            <w:shd w:val="clear" w:color="000000" w:fill="D9D9D9"/>
            <w:noWrap/>
            <w:vAlign w:val="center"/>
            <w:hideMark/>
          </w:tcPr>
          <w:p w14:paraId="27813778"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log K/L</w:t>
            </w:r>
          </w:p>
        </w:tc>
        <w:tc>
          <w:tcPr>
            <w:tcW w:w="958" w:type="dxa"/>
            <w:tcBorders>
              <w:top w:val="single" w:sz="4" w:space="0" w:color="auto"/>
              <w:left w:val="nil"/>
              <w:bottom w:val="single" w:sz="4" w:space="0" w:color="auto"/>
              <w:right w:val="single" w:sz="4" w:space="0" w:color="auto"/>
            </w:tcBorders>
            <w:shd w:val="clear" w:color="auto" w:fill="auto"/>
            <w:vAlign w:val="center"/>
            <w:hideMark/>
          </w:tcPr>
          <w:p w14:paraId="2339BFF3"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0.0877***</w:t>
            </w:r>
          </w:p>
        </w:tc>
        <w:tc>
          <w:tcPr>
            <w:tcW w:w="1040" w:type="dxa"/>
            <w:tcBorders>
              <w:top w:val="nil"/>
              <w:left w:val="nil"/>
              <w:bottom w:val="single" w:sz="4" w:space="0" w:color="auto"/>
              <w:right w:val="single" w:sz="4" w:space="0" w:color="auto"/>
            </w:tcBorders>
            <w:shd w:val="clear" w:color="auto" w:fill="auto"/>
            <w:vAlign w:val="center"/>
            <w:hideMark/>
          </w:tcPr>
          <w:p w14:paraId="7985A072"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0.139***</w:t>
            </w:r>
          </w:p>
        </w:tc>
        <w:tc>
          <w:tcPr>
            <w:tcW w:w="1040" w:type="dxa"/>
            <w:tcBorders>
              <w:top w:val="nil"/>
              <w:left w:val="nil"/>
              <w:bottom w:val="single" w:sz="4" w:space="0" w:color="auto"/>
              <w:right w:val="single" w:sz="4" w:space="0" w:color="auto"/>
            </w:tcBorders>
            <w:shd w:val="clear" w:color="auto" w:fill="auto"/>
            <w:vAlign w:val="center"/>
            <w:hideMark/>
          </w:tcPr>
          <w:p w14:paraId="16692715"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-0.262***</w:t>
            </w:r>
          </w:p>
        </w:tc>
        <w:tc>
          <w:tcPr>
            <w:tcW w:w="875" w:type="dxa"/>
            <w:tcBorders>
              <w:top w:val="nil"/>
              <w:left w:val="nil"/>
              <w:bottom w:val="single" w:sz="4" w:space="0" w:color="auto"/>
              <w:right w:val="single" w:sz="4" w:space="0" w:color="auto"/>
            </w:tcBorders>
            <w:shd w:val="clear" w:color="auto" w:fill="auto"/>
            <w:vAlign w:val="center"/>
            <w:hideMark/>
          </w:tcPr>
          <w:p w14:paraId="5B0D193C"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-1.594***</w:t>
            </w:r>
          </w:p>
        </w:tc>
        <w:tc>
          <w:tcPr>
            <w:tcW w:w="958" w:type="dxa"/>
            <w:tcBorders>
              <w:top w:val="nil"/>
              <w:left w:val="nil"/>
              <w:bottom w:val="single" w:sz="4" w:space="0" w:color="auto"/>
              <w:right w:val="single" w:sz="4" w:space="0" w:color="auto"/>
            </w:tcBorders>
            <w:shd w:val="clear" w:color="auto" w:fill="auto"/>
            <w:vAlign w:val="center"/>
            <w:hideMark/>
          </w:tcPr>
          <w:p w14:paraId="208DED03"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0.229***</w:t>
            </w:r>
          </w:p>
        </w:tc>
        <w:tc>
          <w:tcPr>
            <w:tcW w:w="945" w:type="dxa"/>
            <w:tcBorders>
              <w:top w:val="nil"/>
              <w:left w:val="nil"/>
              <w:bottom w:val="single" w:sz="4" w:space="0" w:color="auto"/>
              <w:right w:val="single" w:sz="8" w:space="0" w:color="auto"/>
            </w:tcBorders>
            <w:shd w:val="clear" w:color="auto" w:fill="auto"/>
            <w:vAlign w:val="center"/>
            <w:hideMark/>
          </w:tcPr>
          <w:p w14:paraId="7FCA5A3D"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-0.354***</w:t>
            </w:r>
          </w:p>
        </w:tc>
      </w:tr>
      <w:tr w:rsidR="00186CE3" w:rsidRPr="001A1CE1" w14:paraId="3CA69376" w14:textId="77777777" w:rsidTr="00E8795E">
        <w:trPr>
          <w:trHeight w:val="217"/>
          <w:jc w:val="center"/>
        </w:trPr>
        <w:tc>
          <w:tcPr>
            <w:tcW w:w="1200" w:type="dxa"/>
            <w:tcBorders>
              <w:top w:val="nil"/>
              <w:left w:val="single" w:sz="8" w:space="0" w:color="auto"/>
              <w:bottom w:val="single" w:sz="4" w:space="0" w:color="auto"/>
              <w:right w:val="single" w:sz="8" w:space="0" w:color="auto"/>
            </w:tcBorders>
            <w:shd w:val="clear" w:color="000000" w:fill="D9D9D9"/>
            <w:noWrap/>
            <w:vAlign w:val="center"/>
            <w:hideMark/>
          </w:tcPr>
          <w:p w14:paraId="18A8C3F3"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Agriculture</w:t>
            </w:r>
          </w:p>
        </w:tc>
        <w:tc>
          <w:tcPr>
            <w:tcW w:w="958" w:type="dxa"/>
            <w:tcBorders>
              <w:top w:val="nil"/>
              <w:left w:val="nil"/>
              <w:bottom w:val="single" w:sz="4" w:space="0" w:color="auto"/>
              <w:right w:val="single" w:sz="4" w:space="0" w:color="auto"/>
            </w:tcBorders>
            <w:shd w:val="clear" w:color="auto" w:fill="auto"/>
            <w:vAlign w:val="center"/>
            <w:hideMark/>
          </w:tcPr>
          <w:p w14:paraId="1D72095C"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-0.000155</w:t>
            </w:r>
          </w:p>
        </w:tc>
        <w:tc>
          <w:tcPr>
            <w:tcW w:w="1040" w:type="dxa"/>
            <w:tcBorders>
              <w:top w:val="nil"/>
              <w:left w:val="nil"/>
              <w:bottom w:val="single" w:sz="4" w:space="0" w:color="auto"/>
              <w:right w:val="single" w:sz="4" w:space="0" w:color="auto"/>
            </w:tcBorders>
            <w:shd w:val="clear" w:color="auto" w:fill="auto"/>
            <w:vAlign w:val="center"/>
            <w:hideMark/>
          </w:tcPr>
          <w:p w14:paraId="3ADDDE39"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-0.00158</w:t>
            </w:r>
          </w:p>
        </w:tc>
        <w:tc>
          <w:tcPr>
            <w:tcW w:w="1040" w:type="dxa"/>
            <w:tcBorders>
              <w:top w:val="nil"/>
              <w:left w:val="nil"/>
              <w:bottom w:val="single" w:sz="4" w:space="0" w:color="auto"/>
              <w:right w:val="single" w:sz="4" w:space="0" w:color="auto"/>
            </w:tcBorders>
            <w:shd w:val="clear" w:color="auto" w:fill="auto"/>
            <w:vAlign w:val="center"/>
            <w:hideMark/>
          </w:tcPr>
          <w:p w14:paraId="6CA2F557"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-0.00253**</w:t>
            </w:r>
          </w:p>
        </w:tc>
        <w:tc>
          <w:tcPr>
            <w:tcW w:w="875" w:type="dxa"/>
            <w:tcBorders>
              <w:top w:val="nil"/>
              <w:left w:val="nil"/>
              <w:bottom w:val="single" w:sz="4" w:space="0" w:color="auto"/>
              <w:right w:val="single" w:sz="4" w:space="0" w:color="auto"/>
            </w:tcBorders>
            <w:shd w:val="clear" w:color="auto" w:fill="auto"/>
            <w:vAlign w:val="center"/>
            <w:hideMark/>
          </w:tcPr>
          <w:p w14:paraId="42AAF321"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0.0462**</w:t>
            </w:r>
          </w:p>
        </w:tc>
        <w:tc>
          <w:tcPr>
            <w:tcW w:w="958" w:type="dxa"/>
            <w:tcBorders>
              <w:top w:val="nil"/>
              <w:left w:val="nil"/>
              <w:bottom w:val="single" w:sz="4" w:space="0" w:color="auto"/>
              <w:right w:val="single" w:sz="4" w:space="0" w:color="auto"/>
            </w:tcBorders>
            <w:shd w:val="clear" w:color="auto" w:fill="auto"/>
            <w:vAlign w:val="center"/>
            <w:hideMark/>
          </w:tcPr>
          <w:p w14:paraId="333E21D0"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0.00434</w:t>
            </w:r>
          </w:p>
        </w:tc>
        <w:tc>
          <w:tcPr>
            <w:tcW w:w="945" w:type="dxa"/>
            <w:tcBorders>
              <w:top w:val="nil"/>
              <w:left w:val="nil"/>
              <w:bottom w:val="single" w:sz="4" w:space="0" w:color="auto"/>
              <w:right w:val="single" w:sz="8" w:space="0" w:color="auto"/>
            </w:tcBorders>
            <w:shd w:val="clear" w:color="auto" w:fill="auto"/>
            <w:vAlign w:val="center"/>
            <w:hideMark/>
          </w:tcPr>
          <w:p w14:paraId="71A406D2"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-0.0291**</w:t>
            </w:r>
          </w:p>
        </w:tc>
      </w:tr>
      <w:tr w:rsidR="00186CE3" w:rsidRPr="001A1CE1" w14:paraId="30767260" w14:textId="77777777" w:rsidTr="00E8795E">
        <w:trPr>
          <w:trHeight w:val="217"/>
          <w:jc w:val="center"/>
        </w:trPr>
        <w:tc>
          <w:tcPr>
            <w:tcW w:w="1200" w:type="dxa"/>
            <w:tcBorders>
              <w:top w:val="nil"/>
              <w:left w:val="single" w:sz="8" w:space="0" w:color="auto"/>
              <w:bottom w:val="single" w:sz="4" w:space="0" w:color="auto"/>
              <w:right w:val="single" w:sz="8" w:space="0" w:color="auto"/>
            </w:tcBorders>
            <w:shd w:val="clear" w:color="000000" w:fill="D9D9D9"/>
            <w:noWrap/>
            <w:vAlign w:val="center"/>
            <w:hideMark/>
          </w:tcPr>
          <w:p w14:paraId="5D73E25E"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Manufacturing</w:t>
            </w:r>
          </w:p>
        </w:tc>
        <w:tc>
          <w:tcPr>
            <w:tcW w:w="958" w:type="dxa"/>
            <w:tcBorders>
              <w:top w:val="nil"/>
              <w:left w:val="nil"/>
              <w:bottom w:val="single" w:sz="4" w:space="0" w:color="auto"/>
              <w:right w:val="single" w:sz="4" w:space="0" w:color="auto"/>
            </w:tcBorders>
            <w:shd w:val="clear" w:color="auto" w:fill="auto"/>
            <w:vAlign w:val="center"/>
            <w:hideMark/>
          </w:tcPr>
          <w:p w14:paraId="41C01B72"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0.00821***</w:t>
            </w:r>
          </w:p>
        </w:tc>
        <w:tc>
          <w:tcPr>
            <w:tcW w:w="1040" w:type="dxa"/>
            <w:tcBorders>
              <w:top w:val="nil"/>
              <w:left w:val="nil"/>
              <w:bottom w:val="single" w:sz="4" w:space="0" w:color="auto"/>
              <w:right w:val="single" w:sz="4" w:space="0" w:color="auto"/>
            </w:tcBorders>
            <w:shd w:val="clear" w:color="auto" w:fill="auto"/>
            <w:vAlign w:val="center"/>
            <w:hideMark/>
          </w:tcPr>
          <w:p w14:paraId="01E9C274"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0.000923***</w:t>
            </w:r>
          </w:p>
        </w:tc>
        <w:tc>
          <w:tcPr>
            <w:tcW w:w="1040" w:type="dxa"/>
            <w:tcBorders>
              <w:top w:val="nil"/>
              <w:left w:val="nil"/>
              <w:bottom w:val="single" w:sz="4" w:space="0" w:color="auto"/>
              <w:right w:val="single" w:sz="4" w:space="0" w:color="auto"/>
            </w:tcBorders>
            <w:shd w:val="clear" w:color="auto" w:fill="auto"/>
            <w:vAlign w:val="center"/>
            <w:hideMark/>
          </w:tcPr>
          <w:p w14:paraId="7FD58E0A"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0.000353</w:t>
            </w:r>
          </w:p>
        </w:tc>
        <w:tc>
          <w:tcPr>
            <w:tcW w:w="875" w:type="dxa"/>
            <w:tcBorders>
              <w:top w:val="nil"/>
              <w:left w:val="nil"/>
              <w:bottom w:val="single" w:sz="4" w:space="0" w:color="auto"/>
              <w:right w:val="single" w:sz="4" w:space="0" w:color="auto"/>
            </w:tcBorders>
            <w:shd w:val="clear" w:color="auto" w:fill="auto"/>
            <w:vAlign w:val="center"/>
            <w:hideMark/>
          </w:tcPr>
          <w:p w14:paraId="3EB714CA"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0.0196***</w:t>
            </w:r>
          </w:p>
        </w:tc>
        <w:tc>
          <w:tcPr>
            <w:tcW w:w="958" w:type="dxa"/>
            <w:tcBorders>
              <w:top w:val="nil"/>
              <w:left w:val="nil"/>
              <w:bottom w:val="single" w:sz="4" w:space="0" w:color="auto"/>
              <w:right w:val="single" w:sz="4" w:space="0" w:color="auto"/>
            </w:tcBorders>
            <w:shd w:val="clear" w:color="auto" w:fill="auto"/>
            <w:vAlign w:val="center"/>
            <w:hideMark/>
          </w:tcPr>
          <w:p w14:paraId="10A55D3B"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-0.0049***</w:t>
            </w:r>
          </w:p>
        </w:tc>
        <w:tc>
          <w:tcPr>
            <w:tcW w:w="945" w:type="dxa"/>
            <w:tcBorders>
              <w:top w:val="nil"/>
              <w:left w:val="nil"/>
              <w:bottom w:val="single" w:sz="4" w:space="0" w:color="auto"/>
              <w:right w:val="single" w:sz="8" w:space="0" w:color="auto"/>
            </w:tcBorders>
            <w:shd w:val="clear" w:color="auto" w:fill="auto"/>
            <w:vAlign w:val="center"/>
            <w:hideMark/>
          </w:tcPr>
          <w:p w14:paraId="32F65DBA"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-0.0143***</w:t>
            </w:r>
          </w:p>
        </w:tc>
      </w:tr>
      <w:tr w:rsidR="00186CE3" w:rsidRPr="001A1CE1" w14:paraId="167447BA" w14:textId="77777777" w:rsidTr="00E8795E">
        <w:trPr>
          <w:trHeight w:val="217"/>
          <w:jc w:val="center"/>
        </w:trPr>
        <w:tc>
          <w:tcPr>
            <w:tcW w:w="1200" w:type="dxa"/>
            <w:tcBorders>
              <w:top w:val="nil"/>
              <w:left w:val="single" w:sz="8" w:space="0" w:color="auto"/>
              <w:bottom w:val="single" w:sz="4" w:space="0" w:color="auto"/>
              <w:right w:val="single" w:sz="8" w:space="0" w:color="auto"/>
            </w:tcBorders>
            <w:shd w:val="clear" w:color="000000" w:fill="D9D9D9"/>
            <w:noWrap/>
            <w:vAlign w:val="center"/>
            <w:hideMark/>
          </w:tcPr>
          <w:p w14:paraId="4B0EA37E"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Construction</w:t>
            </w:r>
          </w:p>
        </w:tc>
        <w:tc>
          <w:tcPr>
            <w:tcW w:w="958" w:type="dxa"/>
            <w:tcBorders>
              <w:top w:val="nil"/>
              <w:left w:val="nil"/>
              <w:bottom w:val="single" w:sz="4" w:space="0" w:color="auto"/>
              <w:right w:val="single" w:sz="4" w:space="0" w:color="auto"/>
            </w:tcBorders>
            <w:shd w:val="clear" w:color="auto" w:fill="auto"/>
            <w:vAlign w:val="center"/>
            <w:hideMark/>
          </w:tcPr>
          <w:p w14:paraId="0BA2F1B8"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-0.00358**</w:t>
            </w:r>
          </w:p>
        </w:tc>
        <w:tc>
          <w:tcPr>
            <w:tcW w:w="1040" w:type="dxa"/>
            <w:tcBorders>
              <w:top w:val="nil"/>
              <w:left w:val="nil"/>
              <w:bottom w:val="single" w:sz="4" w:space="0" w:color="auto"/>
              <w:right w:val="single" w:sz="4" w:space="0" w:color="auto"/>
            </w:tcBorders>
            <w:shd w:val="clear" w:color="auto" w:fill="auto"/>
            <w:vAlign w:val="center"/>
            <w:hideMark/>
          </w:tcPr>
          <w:p w14:paraId="051FC443"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0.00104***</w:t>
            </w:r>
          </w:p>
        </w:tc>
        <w:tc>
          <w:tcPr>
            <w:tcW w:w="1040" w:type="dxa"/>
            <w:tcBorders>
              <w:top w:val="nil"/>
              <w:left w:val="nil"/>
              <w:bottom w:val="single" w:sz="4" w:space="0" w:color="auto"/>
              <w:right w:val="single" w:sz="4" w:space="0" w:color="auto"/>
            </w:tcBorders>
            <w:shd w:val="clear" w:color="auto" w:fill="auto"/>
            <w:vAlign w:val="center"/>
            <w:hideMark/>
          </w:tcPr>
          <w:p w14:paraId="2EB8FC75"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0.000802***</w:t>
            </w:r>
          </w:p>
        </w:tc>
        <w:tc>
          <w:tcPr>
            <w:tcW w:w="875" w:type="dxa"/>
            <w:tcBorders>
              <w:top w:val="nil"/>
              <w:left w:val="nil"/>
              <w:bottom w:val="single" w:sz="4" w:space="0" w:color="auto"/>
              <w:right w:val="single" w:sz="4" w:space="0" w:color="auto"/>
            </w:tcBorders>
            <w:shd w:val="clear" w:color="auto" w:fill="auto"/>
            <w:vAlign w:val="center"/>
            <w:hideMark/>
          </w:tcPr>
          <w:p w14:paraId="09B9DE3D"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-0.00257</w:t>
            </w:r>
          </w:p>
        </w:tc>
        <w:tc>
          <w:tcPr>
            <w:tcW w:w="958" w:type="dxa"/>
            <w:tcBorders>
              <w:top w:val="nil"/>
              <w:left w:val="nil"/>
              <w:bottom w:val="single" w:sz="4" w:space="0" w:color="auto"/>
              <w:right w:val="single" w:sz="4" w:space="0" w:color="auto"/>
            </w:tcBorders>
            <w:shd w:val="clear" w:color="auto" w:fill="auto"/>
            <w:vAlign w:val="center"/>
            <w:hideMark/>
          </w:tcPr>
          <w:p w14:paraId="3A8F7372"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-0.00109</w:t>
            </w:r>
          </w:p>
        </w:tc>
        <w:tc>
          <w:tcPr>
            <w:tcW w:w="945" w:type="dxa"/>
            <w:tcBorders>
              <w:top w:val="nil"/>
              <w:left w:val="nil"/>
              <w:bottom w:val="single" w:sz="4" w:space="0" w:color="auto"/>
              <w:right w:val="single" w:sz="8" w:space="0" w:color="auto"/>
            </w:tcBorders>
            <w:shd w:val="clear" w:color="auto" w:fill="auto"/>
            <w:vAlign w:val="center"/>
            <w:hideMark/>
          </w:tcPr>
          <w:p w14:paraId="2C4CB97A"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-0.00592*</w:t>
            </w:r>
          </w:p>
        </w:tc>
      </w:tr>
      <w:tr w:rsidR="00186CE3" w:rsidRPr="001A1CE1" w14:paraId="6D84D177" w14:textId="77777777" w:rsidTr="00E8795E">
        <w:trPr>
          <w:trHeight w:val="217"/>
          <w:jc w:val="center"/>
        </w:trPr>
        <w:tc>
          <w:tcPr>
            <w:tcW w:w="1200" w:type="dxa"/>
            <w:tcBorders>
              <w:top w:val="nil"/>
              <w:left w:val="single" w:sz="8" w:space="0" w:color="auto"/>
              <w:bottom w:val="single" w:sz="4" w:space="0" w:color="auto"/>
              <w:right w:val="single" w:sz="8" w:space="0" w:color="auto"/>
            </w:tcBorders>
            <w:shd w:val="clear" w:color="000000" w:fill="D9D9D9"/>
            <w:noWrap/>
            <w:vAlign w:val="center"/>
            <w:hideMark/>
          </w:tcPr>
          <w:p w14:paraId="05F06C36"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Services</w:t>
            </w:r>
          </w:p>
        </w:tc>
        <w:tc>
          <w:tcPr>
            <w:tcW w:w="958" w:type="dxa"/>
            <w:tcBorders>
              <w:top w:val="nil"/>
              <w:left w:val="nil"/>
              <w:bottom w:val="single" w:sz="4" w:space="0" w:color="auto"/>
              <w:right w:val="single" w:sz="4" w:space="0" w:color="auto"/>
            </w:tcBorders>
            <w:shd w:val="clear" w:color="auto" w:fill="auto"/>
            <w:vAlign w:val="center"/>
            <w:hideMark/>
          </w:tcPr>
          <w:p w14:paraId="73740B96"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0.000313</w:t>
            </w:r>
          </w:p>
        </w:tc>
        <w:tc>
          <w:tcPr>
            <w:tcW w:w="1040" w:type="dxa"/>
            <w:tcBorders>
              <w:top w:val="nil"/>
              <w:left w:val="nil"/>
              <w:bottom w:val="single" w:sz="4" w:space="0" w:color="auto"/>
              <w:right w:val="single" w:sz="4" w:space="0" w:color="auto"/>
            </w:tcBorders>
            <w:shd w:val="clear" w:color="auto" w:fill="auto"/>
            <w:vAlign w:val="center"/>
            <w:hideMark/>
          </w:tcPr>
          <w:p w14:paraId="45ED6DA2"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0.000187</w:t>
            </w:r>
          </w:p>
        </w:tc>
        <w:tc>
          <w:tcPr>
            <w:tcW w:w="1040" w:type="dxa"/>
            <w:tcBorders>
              <w:top w:val="nil"/>
              <w:left w:val="nil"/>
              <w:bottom w:val="single" w:sz="4" w:space="0" w:color="auto"/>
              <w:right w:val="single" w:sz="4" w:space="0" w:color="auto"/>
            </w:tcBorders>
            <w:shd w:val="clear" w:color="auto" w:fill="auto"/>
            <w:vAlign w:val="center"/>
            <w:hideMark/>
          </w:tcPr>
          <w:p w14:paraId="4093A84F"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0.000800**</w:t>
            </w:r>
          </w:p>
        </w:tc>
        <w:tc>
          <w:tcPr>
            <w:tcW w:w="875" w:type="dxa"/>
            <w:tcBorders>
              <w:top w:val="nil"/>
              <w:left w:val="nil"/>
              <w:bottom w:val="single" w:sz="4" w:space="0" w:color="auto"/>
              <w:right w:val="single" w:sz="4" w:space="0" w:color="auto"/>
            </w:tcBorders>
            <w:shd w:val="clear" w:color="auto" w:fill="auto"/>
            <w:vAlign w:val="center"/>
            <w:hideMark/>
          </w:tcPr>
          <w:p w14:paraId="7BACAAF9"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-0.00115</w:t>
            </w:r>
          </w:p>
        </w:tc>
        <w:tc>
          <w:tcPr>
            <w:tcW w:w="958" w:type="dxa"/>
            <w:tcBorders>
              <w:top w:val="nil"/>
              <w:left w:val="nil"/>
              <w:bottom w:val="single" w:sz="4" w:space="0" w:color="auto"/>
              <w:right w:val="single" w:sz="4" w:space="0" w:color="auto"/>
            </w:tcBorders>
            <w:shd w:val="clear" w:color="auto" w:fill="auto"/>
            <w:vAlign w:val="center"/>
            <w:hideMark/>
          </w:tcPr>
          <w:p w14:paraId="2A280F37"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-0.000730</w:t>
            </w:r>
          </w:p>
        </w:tc>
        <w:tc>
          <w:tcPr>
            <w:tcW w:w="945" w:type="dxa"/>
            <w:tcBorders>
              <w:top w:val="nil"/>
              <w:left w:val="nil"/>
              <w:bottom w:val="single" w:sz="4" w:space="0" w:color="auto"/>
              <w:right w:val="single" w:sz="8" w:space="0" w:color="auto"/>
            </w:tcBorders>
            <w:shd w:val="clear" w:color="auto" w:fill="auto"/>
            <w:vAlign w:val="center"/>
            <w:hideMark/>
          </w:tcPr>
          <w:p w14:paraId="5DDC7517"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-0.00451</w:t>
            </w:r>
          </w:p>
        </w:tc>
      </w:tr>
      <w:tr w:rsidR="00186CE3" w:rsidRPr="001A1CE1" w14:paraId="3865EA72" w14:textId="77777777" w:rsidTr="00E8795E">
        <w:trPr>
          <w:trHeight w:val="217"/>
          <w:jc w:val="center"/>
        </w:trPr>
        <w:tc>
          <w:tcPr>
            <w:tcW w:w="1200" w:type="dxa"/>
            <w:tcBorders>
              <w:top w:val="nil"/>
              <w:left w:val="single" w:sz="8" w:space="0" w:color="auto"/>
              <w:bottom w:val="single" w:sz="4" w:space="0" w:color="auto"/>
              <w:right w:val="single" w:sz="8" w:space="0" w:color="auto"/>
            </w:tcBorders>
            <w:shd w:val="clear" w:color="000000" w:fill="D9D9D9"/>
            <w:noWrap/>
            <w:vAlign w:val="center"/>
            <w:hideMark/>
          </w:tcPr>
          <w:p w14:paraId="1B64A178"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Public sector</w:t>
            </w:r>
          </w:p>
        </w:tc>
        <w:tc>
          <w:tcPr>
            <w:tcW w:w="958" w:type="dxa"/>
            <w:tcBorders>
              <w:top w:val="nil"/>
              <w:left w:val="nil"/>
              <w:bottom w:val="single" w:sz="4" w:space="0" w:color="auto"/>
              <w:right w:val="single" w:sz="4" w:space="0" w:color="auto"/>
            </w:tcBorders>
            <w:shd w:val="clear" w:color="auto" w:fill="auto"/>
            <w:vAlign w:val="center"/>
            <w:hideMark/>
          </w:tcPr>
          <w:p w14:paraId="7E9326F9"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-0.0105***</w:t>
            </w:r>
          </w:p>
        </w:tc>
        <w:tc>
          <w:tcPr>
            <w:tcW w:w="1040" w:type="dxa"/>
            <w:tcBorders>
              <w:top w:val="nil"/>
              <w:left w:val="nil"/>
              <w:bottom w:val="single" w:sz="4" w:space="0" w:color="auto"/>
              <w:right w:val="single" w:sz="4" w:space="0" w:color="auto"/>
            </w:tcBorders>
            <w:shd w:val="clear" w:color="auto" w:fill="auto"/>
            <w:vAlign w:val="center"/>
            <w:hideMark/>
          </w:tcPr>
          <w:p w14:paraId="6E4B0901"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-0.000737</w:t>
            </w:r>
          </w:p>
        </w:tc>
        <w:tc>
          <w:tcPr>
            <w:tcW w:w="1040" w:type="dxa"/>
            <w:tcBorders>
              <w:top w:val="nil"/>
              <w:left w:val="nil"/>
              <w:bottom w:val="single" w:sz="4" w:space="0" w:color="auto"/>
              <w:right w:val="single" w:sz="4" w:space="0" w:color="auto"/>
            </w:tcBorders>
            <w:shd w:val="clear" w:color="auto" w:fill="auto"/>
            <w:vAlign w:val="center"/>
            <w:hideMark/>
          </w:tcPr>
          <w:p w14:paraId="4FA55097"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-0.000579</w:t>
            </w:r>
          </w:p>
        </w:tc>
        <w:tc>
          <w:tcPr>
            <w:tcW w:w="875" w:type="dxa"/>
            <w:tcBorders>
              <w:top w:val="nil"/>
              <w:left w:val="nil"/>
              <w:bottom w:val="single" w:sz="4" w:space="0" w:color="auto"/>
              <w:right w:val="single" w:sz="4" w:space="0" w:color="auto"/>
            </w:tcBorders>
            <w:shd w:val="clear" w:color="auto" w:fill="auto"/>
            <w:vAlign w:val="center"/>
            <w:hideMark/>
          </w:tcPr>
          <w:p w14:paraId="141199FC"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-0.045***</w:t>
            </w:r>
          </w:p>
        </w:tc>
        <w:tc>
          <w:tcPr>
            <w:tcW w:w="958" w:type="dxa"/>
            <w:tcBorders>
              <w:top w:val="nil"/>
              <w:left w:val="nil"/>
              <w:bottom w:val="single" w:sz="4" w:space="0" w:color="auto"/>
              <w:right w:val="single" w:sz="4" w:space="0" w:color="auto"/>
            </w:tcBorders>
            <w:shd w:val="clear" w:color="auto" w:fill="auto"/>
            <w:vAlign w:val="center"/>
            <w:hideMark/>
          </w:tcPr>
          <w:p w14:paraId="024D05F5"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0.00891***</w:t>
            </w:r>
          </w:p>
        </w:tc>
        <w:tc>
          <w:tcPr>
            <w:tcW w:w="945" w:type="dxa"/>
            <w:tcBorders>
              <w:top w:val="nil"/>
              <w:left w:val="nil"/>
              <w:bottom w:val="single" w:sz="4" w:space="0" w:color="auto"/>
              <w:right w:val="single" w:sz="8" w:space="0" w:color="auto"/>
            </w:tcBorders>
            <w:shd w:val="clear" w:color="auto" w:fill="auto"/>
            <w:vAlign w:val="center"/>
            <w:hideMark/>
          </w:tcPr>
          <w:p w14:paraId="5FEA3E53"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0.00496</w:t>
            </w:r>
          </w:p>
        </w:tc>
      </w:tr>
      <w:tr w:rsidR="00186CE3" w:rsidRPr="001A1CE1" w14:paraId="7AC7010F" w14:textId="77777777" w:rsidTr="00E8795E">
        <w:trPr>
          <w:trHeight w:val="217"/>
          <w:jc w:val="center"/>
        </w:trPr>
        <w:tc>
          <w:tcPr>
            <w:tcW w:w="1200" w:type="dxa"/>
            <w:tcBorders>
              <w:top w:val="nil"/>
              <w:left w:val="single" w:sz="8" w:space="0" w:color="auto"/>
              <w:bottom w:val="single" w:sz="4" w:space="0" w:color="auto"/>
              <w:right w:val="single" w:sz="8" w:space="0" w:color="auto"/>
            </w:tcBorders>
            <w:shd w:val="clear" w:color="000000" w:fill="D9D9D9"/>
            <w:noWrap/>
            <w:vAlign w:val="center"/>
            <w:hideMark/>
          </w:tcPr>
          <w:p w14:paraId="38DFDE4C"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2004</w:t>
            </w:r>
          </w:p>
        </w:tc>
        <w:tc>
          <w:tcPr>
            <w:tcW w:w="958" w:type="dxa"/>
            <w:tcBorders>
              <w:top w:val="nil"/>
              <w:left w:val="nil"/>
              <w:bottom w:val="single" w:sz="4" w:space="0" w:color="auto"/>
              <w:right w:val="single" w:sz="4" w:space="0" w:color="auto"/>
            </w:tcBorders>
            <w:shd w:val="clear" w:color="auto" w:fill="auto"/>
            <w:vAlign w:val="center"/>
            <w:hideMark/>
          </w:tcPr>
          <w:p w14:paraId="7F5FDD00"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-0.00540</w:t>
            </w:r>
          </w:p>
        </w:tc>
        <w:tc>
          <w:tcPr>
            <w:tcW w:w="1040" w:type="dxa"/>
            <w:tcBorders>
              <w:top w:val="nil"/>
              <w:left w:val="nil"/>
              <w:bottom w:val="single" w:sz="4" w:space="0" w:color="auto"/>
              <w:right w:val="single" w:sz="4" w:space="0" w:color="auto"/>
            </w:tcBorders>
            <w:shd w:val="clear" w:color="auto" w:fill="auto"/>
            <w:vAlign w:val="center"/>
            <w:hideMark/>
          </w:tcPr>
          <w:p w14:paraId="1BAE4F93"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-0.00192</w:t>
            </w:r>
          </w:p>
        </w:tc>
        <w:tc>
          <w:tcPr>
            <w:tcW w:w="1040" w:type="dxa"/>
            <w:tcBorders>
              <w:top w:val="nil"/>
              <w:left w:val="nil"/>
              <w:bottom w:val="single" w:sz="4" w:space="0" w:color="auto"/>
              <w:right w:val="single" w:sz="4" w:space="0" w:color="auto"/>
            </w:tcBorders>
            <w:shd w:val="clear" w:color="auto" w:fill="auto"/>
            <w:vAlign w:val="center"/>
            <w:hideMark/>
          </w:tcPr>
          <w:p w14:paraId="092F7693"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0.00249**</w:t>
            </w:r>
          </w:p>
        </w:tc>
        <w:tc>
          <w:tcPr>
            <w:tcW w:w="875" w:type="dxa"/>
            <w:tcBorders>
              <w:top w:val="nil"/>
              <w:left w:val="nil"/>
              <w:bottom w:val="single" w:sz="4" w:space="0" w:color="auto"/>
              <w:right w:val="single" w:sz="4" w:space="0" w:color="auto"/>
            </w:tcBorders>
            <w:shd w:val="clear" w:color="auto" w:fill="auto"/>
            <w:vAlign w:val="center"/>
            <w:hideMark/>
          </w:tcPr>
          <w:p w14:paraId="7CE49368"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-0.0187</w:t>
            </w:r>
          </w:p>
        </w:tc>
        <w:tc>
          <w:tcPr>
            <w:tcW w:w="958" w:type="dxa"/>
            <w:tcBorders>
              <w:top w:val="nil"/>
              <w:left w:val="nil"/>
              <w:bottom w:val="single" w:sz="4" w:space="0" w:color="auto"/>
              <w:right w:val="single" w:sz="4" w:space="0" w:color="auto"/>
            </w:tcBorders>
            <w:shd w:val="clear" w:color="auto" w:fill="auto"/>
            <w:vAlign w:val="center"/>
            <w:hideMark/>
          </w:tcPr>
          <w:p w14:paraId="67F7EAD9"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-0.000455</w:t>
            </w:r>
          </w:p>
        </w:tc>
        <w:tc>
          <w:tcPr>
            <w:tcW w:w="945" w:type="dxa"/>
            <w:tcBorders>
              <w:top w:val="nil"/>
              <w:left w:val="nil"/>
              <w:bottom w:val="single" w:sz="4" w:space="0" w:color="auto"/>
              <w:right w:val="single" w:sz="8" w:space="0" w:color="auto"/>
            </w:tcBorders>
            <w:shd w:val="clear" w:color="auto" w:fill="auto"/>
            <w:vAlign w:val="center"/>
            <w:hideMark/>
          </w:tcPr>
          <w:p w14:paraId="2CF98098"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0.00980</w:t>
            </w:r>
          </w:p>
        </w:tc>
      </w:tr>
      <w:tr w:rsidR="00186CE3" w:rsidRPr="001A1CE1" w14:paraId="5083AB57" w14:textId="77777777" w:rsidTr="00E8795E">
        <w:trPr>
          <w:trHeight w:val="217"/>
          <w:jc w:val="center"/>
        </w:trPr>
        <w:tc>
          <w:tcPr>
            <w:tcW w:w="1200" w:type="dxa"/>
            <w:tcBorders>
              <w:top w:val="nil"/>
              <w:left w:val="single" w:sz="8" w:space="0" w:color="auto"/>
              <w:bottom w:val="single" w:sz="4" w:space="0" w:color="auto"/>
              <w:right w:val="single" w:sz="8" w:space="0" w:color="auto"/>
            </w:tcBorders>
            <w:shd w:val="clear" w:color="000000" w:fill="D9D9D9"/>
            <w:noWrap/>
            <w:vAlign w:val="center"/>
            <w:hideMark/>
          </w:tcPr>
          <w:p w14:paraId="3F80A558"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2005</w:t>
            </w:r>
          </w:p>
        </w:tc>
        <w:tc>
          <w:tcPr>
            <w:tcW w:w="958" w:type="dxa"/>
            <w:tcBorders>
              <w:top w:val="nil"/>
              <w:left w:val="nil"/>
              <w:bottom w:val="single" w:sz="4" w:space="0" w:color="auto"/>
              <w:right w:val="single" w:sz="4" w:space="0" w:color="auto"/>
            </w:tcBorders>
            <w:shd w:val="clear" w:color="auto" w:fill="auto"/>
            <w:vAlign w:val="center"/>
            <w:hideMark/>
          </w:tcPr>
          <w:p w14:paraId="4553F56A"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-0.00964</w:t>
            </w:r>
          </w:p>
        </w:tc>
        <w:tc>
          <w:tcPr>
            <w:tcW w:w="1040" w:type="dxa"/>
            <w:tcBorders>
              <w:top w:val="nil"/>
              <w:left w:val="nil"/>
              <w:bottom w:val="single" w:sz="4" w:space="0" w:color="auto"/>
              <w:right w:val="single" w:sz="4" w:space="0" w:color="auto"/>
            </w:tcBorders>
            <w:shd w:val="clear" w:color="auto" w:fill="auto"/>
            <w:vAlign w:val="center"/>
            <w:hideMark/>
          </w:tcPr>
          <w:p w14:paraId="40FAB22F"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-0.00237*</w:t>
            </w:r>
          </w:p>
        </w:tc>
        <w:tc>
          <w:tcPr>
            <w:tcW w:w="1040" w:type="dxa"/>
            <w:tcBorders>
              <w:top w:val="nil"/>
              <w:left w:val="nil"/>
              <w:bottom w:val="single" w:sz="4" w:space="0" w:color="auto"/>
              <w:right w:val="single" w:sz="4" w:space="0" w:color="auto"/>
            </w:tcBorders>
            <w:shd w:val="clear" w:color="auto" w:fill="auto"/>
            <w:vAlign w:val="center"/>
            <w:hideMark/>
          </w:tcPr>
          <w:p w14:paraId="6C928445"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0.00101</w:t>
            </w:r>
          </w:p>
        </w:tc>
        <w:tc>
          <w:tcPr>
            <w:tcW w:w="875" w:type="dxa"/>
            <w:tcBorders>
              <w:top w:val="nil"/>
              <w:left w:val="nil"/>
              <w:bottom w:val="single" w:sz="4" w:space="0" w:color="auto"/>
              <w:right w:val="single" w:sz="4" w:space="0" w:color="auto"/>
            </w:tcBorders>
            <w:shd w:val="clear" w:color="auto" w:fill="auto"/>
            <w:vAlign w:val="center"/>
            <w:hideMark/>
          </w:tcPr>
          <w:p w14:paraId="4BE94B0B"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-0.0231</w:t>
            </w:r>
          </w:p>
        </w:tc>
        <w:tc>
          <w:tcPr>
            <w:tcW w:w="958" w:type="dxa"/>
            <w:tcBorders>
              <w:top w:val="nil"/>
              <w:left w:val="nil"/>
              <w:bottom w:val="single" w:sz="4" w:space="0" w:color="auto"/>
              <w:right w:val="single" w:sz="4" w:space="0" w:color="auto"/>
            </w:tcBorders>
            <w:shd w:val="clear" w:color="auto" w:fill="auto"/>
            <w:vAlign w:val="center"/>
            <w:hideMark/>
          </w:tcPr>
          <w:p w14:paraId="4FF0C820"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0.00146</w:t>
            </w:r>
          </w:p>
        </w:tc>
        <w:tc>
          <w:tcPr>
            <w:tcW w:w="945" w:type="dxa"/>
            <w:tcBorders>
              <w:top w:val="nil"/>
              <w:left w:val="nil"/>
              <w:bottom w:val="single" w:sz="4" w:space="0" w:color="auto"/>
              <w:right w:val="single" w:sz="8" w:space="0" w:color="auto"/>
            </w:tcBorders>
            <w:shd w:val="clear" w:color="auto" w:fill="auto"/>
            <w:vAlign w:val="center"/>
            <w:hideMark/>
          </w:tcPr>
          <w:p w14:paraId="633A5960"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0.00169</w:t>
            </w:r>
          </w:p>
        </w:tc>
      </w:tr>
      <w:tr w:rsidR="00186CE3" w:rsidRPr="001A1CE1" w14:paraId="7175CF5E" w14:textId="77777777" w:rsidTr="00E8795E">
        <w:trPr>
          <w:trHeight w:val="217"/>
          <w:jc w:val="center"/>
        </w:trPr>
        <w:tc>
          <w:tcPr>
            <w:tcW w:w="1200" w:type="dxa"/>
            <w:tcBorders>
              <w:top w:val="nil"/>
              <w:left w:val="single" w:sz="8" w:space="0" w:color="auto"/>
              <w:bottom w:val="single" w:sz="4" w:space="0" w:color="auto"/>
              <w:right w:val="single" w:sz="8" w:space="0" w:color="auto"/>
            </w:tcBorders>
            <w:shd w:val="clear" w:color="000000" w:fill="D9D9D9"/>
            <w:noWrap/>
            <w:vAlign w:val="center"/>
            <w:hideMark/>
          </w:tcPr>
          <w:p w14:paraId="6650FEEC"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2006</w:t>
            </w:r>
          </w:p>
        </w:tc>
        <w:tc>
          <w:tcPr>
            <w:tcW w:w="958" w:type="dxa"/>
            <w:tcBorders>
              <w:top w:val="nil"/>
              <w:left w:val="nil"/>
              <w:bottom w:val="single" w:sz="4" w:space="0" w:color="auto"/>
              <w:right w:val="single" w:sz="4" w:space="0" w:color="auto"/>
            </w:tcBorders>
            <w:shd w:val="clear" w:color="auto" w:fill="auto"/>
            <w:vAlign w:val="center"/>
            <w:hideMark/>
          </w:tcPr>
          <w:p w14:paraId="4C50872A"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-0.0242***</w:t>
            </w:r>
          </w:p>
        </w:tc>
        <w:tc>
          <w:tcPr>
            <w:tcW w:w="1040" w:type="dxa"/>
            <w:tcBorders>
              <w:top w:val="nil"/>
              <w:left w:val="nil"/>
              <w:bottom w:val="single" w:sz="4" w:space="0" w:color="auto"/>
              <w:right w:val="single" w:sz="4" w:space="0" w:color="auto"/>
            </w:tcBorders>
            <w:shd w:val="clear" w:color="auto" w:fill="auto"/>
            <w:vAlign w:val="center"/>
            <w:hideMark/>
          </w:tcPr>
          <w:p w14:paraId="485E3185"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-0.00352**</w:t>
            </w:r>
          </w:p>
        </w:tc>
        <w:tc>
          <w:tcPr>
            <w:tcW w:w="1040" w:type="dxa"/>
            <w:tcBorders>
              <w:top w:val="nil"/>
              <w:left w:val="nil"/>
              <w:bottom w:val="single" w:sz="4" w:space="0" w:color="auto"/>
              <w:right w:val="single" w:sz="4" w:space="0" w:color="auto"/>
            </w:tcBorders>
            <w:shd w:val="clear" w:color="auto" w:fill="auto"/>
            <w:vAlign w:val="center"/>
            <w:hideMark/>
          </w:tcPr>
          <w:p w14:paraId="609E9E4C"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-0.000923</w:t>
            </w:r>
          </w:p>
        </w:tc>
        <w:tc>
          <w:tcPr>
            <w:tcW w:w="875" w:type="dxa"/>
            <w:tcBorders>
              <w:top w:val="nil"/>
              <w:left w:val="nil"/>
              <w:bottom w:val="single" w:sz="4" w:space="0" w:color="auto"/>
              <w:right w:val="single" w:sz="4" w:space="0" w:color="auto"/>
            </w:tcBorders>
            <w:shd w:val="clear" w:color="auto" w:fill="auto"/>
            <w:vAlign w:val="center"/>
            <w:hideMark/>
          </w:tcPr>
          <w:p w14:paraId="402BA16D"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-0.0573**</w:t>
            </w:r>
          </w:p>
        </w:tc>
        <w:tc>
          <w:tcPr>
            <w:tcW w:w="958" w:type="dxa"/>
            <w:tcBorders>
              <w:top w:val="nil"/>
              <w:left w:val="nil"/>
              <w:bottom w:val="single" w:sz="4" w:space="0" w:color="auto"/>
              <w:right w:val="single" w:sz="4" w:space="0" w:color="auto"/>
            </w:tcBorders>
            <w:shd w:val="clear" w:color="auto" w:fill="auto"/>
            <w:vAlign w:val="center"/>
            <w:hideMark/>
          </w:tcPr>
          <w:p w14:paraId="64DCA7F0"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9.94e-05</w:t>
            </w:r>
          </w:p>
        </w:tc>
        <w:tc>
          <w:tcPr>
            <w:tcW w:w="945" w:type="dxa"/>
            <w:tcBorders>
              <w:top w:val="nil"/>
              <w:left w:val="nil"/>
              <w:bottom w:val="single" w:sz="4" w:space="0" w:color="auto"/>
              <w:right w:val="single" w:sz="8" w:space="0" w:color="auto"/>
            </w:tcBorders>
            <w:shd w:val="clear" w:color="auto" w:fill="auto"/>
            <w:vAlign w:val="center"/>
            <w:hideMark/>
          </w:tcPr>
          <w:p w14:paraId="00239E20"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0.0185</w:t>
            </w:r>
          </w:p>
        </w:tc>
      </w:tr>
      <w:tr w:rsidR="00186CE3" w:rsidRPr="001A1CE1" w14:paraId="55699500" w14:textId="77777777" w:rsidTr="00E8795E">
        <w:trPr>
          <w:trHeight w:val="217"/>
          <w:jc w:val="center"/>
        </w:trPr>
        <w:tc>
          <w:tcPr>
            <w:tcW w:w="1200" w:type="dxa"/>
            <w:tcBorders>
              <w:top w:val="nil"/>
              <w:left w:val="single" w:sz="8" w:space="0" w:color="auto"/>
              <w:bottom w:val="single" w:sz="4" w:space="0" w:color="auto"/>
              <w:right w:val="single" w:sz="8" w:space="0" w:color="auto"/>
            </w:tcBorders>
            <w:shd w:val="clear" w:color="000000" w:fill="D9D9D9"/>
            <w:noWrap/>
            <w:vAlign w:val="center"/>
            <w:hideMark/>
          </w:tcPr>
          <w:p w14:paraId="4FA14D9F"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2007</w:t>
            </w:r>
          </w:p>
        </w:tc>
        <w:tc>
          <w:tcPr>
            <w:tcW w:w="958" w:type="dxa"/>
            <w:tcBorders>
              <w:top w:val="nil"/>
              <w:left w:val="nil"/>
              <w:bottom w:val="single" w:sz="4" w:space="0" w:color="auto"/>
              <w:right w:val="single" w:sz="4" w:space="0" w:color="auto"/>
            </w:tcBorders>
            <w:shd w:val="clear" w:color="auto" w:fill="auto"/>
            <w:vAlign w:val="center"/>
            <w:hideMark/>
          </w:tcPr>
          <w:p w14:paraId="7A2BBA61"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-0.0392***</w:t>
            </w:r>
          </w:p>
        </w:tc>
        <w:tc>
          <w:tcPr>
            <w:tcW w:w="1040" w:type="dxa"/>
            <w:tcBorders>
              <w:top w:val="nil"/>
              <w:left w:val="nil"/>
              <w:bottom w:val="single" w:sz="4" w:space="0" w:color="auto"/>
              <w:right w:val="single" w:sz="4" w:space="0" w:color="auto"/>
            </w:tcBorders>
            <w:shd w:val="clear" w:color="auto" w:fill="auto"/>
            <w:vAlign w:val="center"/>
            <w:hideMark/>
          </w:tcPr>
          <w:p w14:paraId="7A9A1179"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-0.00441***</w:t>
            </w:r>
          </w:p>
        </w:tc>
        <w:tc>
          <w:tcPr>
            <w:tcW w:w="1040" w:type="dxa"/>
            <w:tcBorders>
              <w:top w:val="nil"/>
              <w:left w:val="nil"/>
              <w:bottom w:val="single" w:sz="4" w:space="0" w:color="auto"/>
              <w:right w:val="single" w:sz="4" w:space="0" w:color="auto"/>
            </w:tcBorders>
            <w:shd w:val="clear" w:color="auto" w:fill="auto"/>
            <w:vAlign w:val="center"/>
            <w:hideMark/>
          </w:tcPr>
          <w:p w14:paraId="039D4114"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0.000452</w:t>
            </w:r>
          </w:p>
        </w:tc>
        <w:tc>
          <w:tcPr>
            <w:tcW w:w="875" w:type="dxa"/>
            <w:tcBorders>
              <w:top w:val="nil"/>
              <w:left w:val="nil"/>
              <w:bottom w:val="single" w:sz="4" w:space="0" w:color="auto"/>
              <w:right w:val="single" w:sz="4" w:space="0" w:color="auto"/>
            </w:tcBorders>
            <w:shd w:val="clear" w:color="auto" w:fill="auto"/>
            <w:vAlign w:val="center"/>
            <w:hideMark/>
          </w:tcPr>
          <w:p w14:paraId="42D641F4"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-0.097***</w:t>
            </w:r>
          </w:p>
        </w:tc>
        <w:tc>
          <w:tcPr>
            <w:tcW w:w="958" w:type="dxa"/>
            <w:tcBorders>
              <w:top w:val="nil"/>
              <w:left w:val="nil"/>
              <w:bottom w:val="single" w:sz="4" w:space="0" w:color="auto"/>
              <w:right w:val="single" w:sz="4" w:space="0" w:color="auto"/>
            </w:tcBorders>
            <w:shd w:val="clear" w:color="auto" w:fill="auto"/>
            <w:vAlign w:val="center"/>
            <w:hideMark/>
          </w:tcPr>
          <w:p w14:paraId="30AD157E"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-0.00104</w:t>
            </w:r>
          </w:p>
        </w:tc>
        <w:tc>
          <w:tcPr>
            <w:tcW w:w="945" w:type="dxa"/>
            <w:tcBorders>
              <w:top w:val="nil"/>
              <w:left w:val="nil"/>
              <w:bottom w:val="single" w:sz="4" w:space="0" w:color="auto"/>
              <w:right w:val="single" w:sz="8" w:space="0" w:color="auto"/>
            </w:tcBorders>
            <w:shd w:val="clear" w:color="auto" w:fill="auto"/>
            <w:vAlign w:val="center"/>
            <w:hideMark/>
          </w:tcPr>
          <w:p w14:paraId="7B1E532B"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0.0384**</w:t>
            </w:r>
          </w:p>
        </w:tc>
      </w:tr>
      <w:tr w:rsidR="00186CE3" w:rsidRPr="001A1CE1" w14:paraId="123F3871" w14:textId="77777777" w:rsidTr="00E8795E">
        <w:trPr>
          <w:trHeight w:val="217"/>
          <w:jc w:val="center"/>
        </w:trPr>
        <w:tc>
          <w:tcPr>
            <w:tcW w:w="1200" w:type="dxa"/>
            <w:tcBorders>
              <w:top w:val="nil"/>
              <w:left w:val="single" w:sz="8" w:space="0" w:color="auto"/>
              <w:bottom w:val="single" w:sz="4" w:space="0" w:color="auto"/>
              <w:right w:val="single" w:sz="8" w:space="0" w:color="auto"/>
            </w:tcBorders>
            <w:shd w:val="clear" w:color="000000" w:fill="D9D9D9"/>
            <w:noWrap/>
            <w:vAlign w:val="center"/>
            <w:hideMark/>
          </w:tcPr>
          <w:p w14:paraId="4E860EEB"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2008</w:t>
            </w:r>
          </w:p>
        </w:tc>
        <w:tc>
          <w:tcPr>
            <w:tcW w:w="958" w:type="dxa"/>
            <w:tcBorders>
              <w:top w:val="nil"/>
              <w:left w:val="nil"/>
              <w:bottom w:val="single" w:sz="4" w:space="0" w:color="auto"/>
              <w:right w:val="single" w:sz="4" w:space="0" w:color="auto"/>
            </w:tcBorders>
            <w:shd w:val="clear" w:color="auto" w:fill="auto"/>
            <w:vAlign w:val="center"/>
            <w:hideMark/>
          </w:tcPr>
          <w:p w14:paraId="07F7391F"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-0.0371***</w:t>
            </w:r>
          </w:p>
        </w:tc>
        <w:tc>
          <w:tcPr>
            <w:tcW w:w="1040" w:type="dxa"/>
            <w:tcBorders>
              <w:top w:val="nil"/>
              <w:left w:val="nil"/>
              <w:bottom w:val="single" w:sz="4" w:space="0" w:color="auto"/>
              <w:right w:val="single" w:sz="4" w:space="0" w:color="auto"/>
            </w:tcBorders>
            <w:shd w:val="clear" w:color="auto" w:fill="auto"/>
            <w:vAlign w:val="center"/>
            <w:hideMark/>
          </w:tcPr>
          <w:p w14:paraId="32571562"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-0.00542***</w:t>
            </w:r>
          </w:p>
        </w:tc>
        <w:tc>
          <w:tcPr>
            <w:tcW w:w="1040" w:type="dxa"/>
            <w:tcBorders>
              <w:top w:val="nil"/>
              <w:left w:val="nil"/>
              <w:bottom w:val="single" w:sz="4" w:space="0" w:color="auto"/>
              <w:right w:val="single" w:sz="4" w:space="0" w:color="auto"/>
            </w:tcBorders>
            <w:shd w:val="clear" w:color="auto" w:fill="auto"/>
            <w:vAlign w:val="center"/>
            <w:hideMark/>
          </w:tcPr>
          <w:p w14:paraId="51DC1024"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0.00441***</w:t>
            </w:r>
          </w:p>
        </w:tc>
        <w:tc>
          <w:tcPr>
            <w:tcW w:w="875" w:type="dxa"/>
            <w:tcBorders>
              <w:top w:val="nil"/>
              <w:left w:val="nil"/>
              <w:bottom w:val="single" w:sz="4" w:space="0" w:color="auto"/>
              <w:right w:val="single" w:sz="4" w:space="0" w:color="auto"/>
            </w:tcBorders>
            <w:shd w:val="clear" w:color="auto" w:fill="auto"/>
            <w:vAlign w:val="center"/>
            <w:hideMark/>
          </w:tcPr>
          <w:p w14:paraId="0264101F"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-0.0381</w:t>
            </w:r>
          </w:p>
        </w:tc>
        <w:tc>
          <w:tcPr>
            <w:tcW w:w="958" w:type="dxa"/>
            <w:tcBorders>
              <w:top w:val="nil"/>
              <w:left w:val="nil"/>
              <w:bottom w:val="single" w:sz="4" w:space="0" w:color="auto"/>
              <w:right w:val="single" w:sz="4" w:space="0" w:color="auto"/>
            </w:tcBorders>
            <w:shd w:val="clear" w:color="auto" w:fill="auto"/>
            <w:vAlign w:val="center"/>
            <w:hideMark/>
          </w:tcPr>
          <w:p w14:paraId="53CB1CF9"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-0.0128</w:t>
            </w:r>
          </w:p>
        </w:tc>
        <w:tc>
          <w:tcPr>
            <w:tcW w:w="945" w:type="dxa"/>
            <w:tcBorders>
              <w:top w:val="nil"/>
              <w:left w:val="nil"/>
              <w:bottom w:val="single" w:sz="4" w:space="0" w:color="auto"/>
              <w:right w:val="single" w:sz="8" w:space="0" w:color="auto"/>
            </w:tcBorders>
            <w:shd w:val="clear" w:color="auto" w:fill="auto"/>
            <w:vAlign w:val="center"/>
            <w:hideMark/>
          </w:tcPr>
          <w:p w14:paraId="322360A4"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0.0333*</w:t>
            </w:r>
          </w:p>
        </w:tc>
      </w:tr>
      <w:tr w:rsidR="00186CE3" w:rsidRPr="001A1CE1" w14:paraId="0AC46554" w14:textId="77777777" w:rsidTr="00E8795E">
        <w:trPr>
          <w:trHeight w:val="217"/>
          <w:jc w:val="center"/>
        </w:trPr>
        <w:tc>
          <w:tcPr>
            <w:tcW w:w="1200" w:type="dxa"/>
            <w:tcBorders>
              <w:top w:val="nil"/>
              <w:left w:val="single" w:sz="8" w:space="0" w:color="auto"/>
              <w:bottom w:val="single" w:sz="4" w:space="0" w:color="auto"/>
              <w:right w:val="single" w:sz="8" w:space="0" w:color="auto"/>
            </w:tcBorders>
            <w:shd w:val="clear" w:color="000000" w:fill="D9D9D9"/>
            <w:noWrap/>
            <w:vAlign w:val="center"/>
            <w:hideMark/>
          </w:tcPr>
          <w:p w14:paraId="1E64F7C2"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2009</w:t>
            </w:r>
          </w:p>
        </w:tc>
        <w:tc>
          <w:tcPr>
            <w:tcW w:w="958" w:type="dxa"/>
            <w:tcBorders>
              <w:top w:val="nil"/>
              <w:left w:val="nil"/>
              <w:bottom w:val="single" w:sz="4" w:space="0" w:color="auto"/>
              <w:right w:val="single" w:sz="4" w:space="0" w:color="auto"/>
            </w:tcBorders>
            <w:shd w:val="clear" w:color="auto" w:fill="auto"/>
            <w:vAlign w:val="center"/>
            <w:hideMark/>
          </w:tcPr>
          <w:p w14:paraId="22818381"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0.00508</w:t>
            </w:r>
          </w:p>
        </w:tc>
        <w:tc>
          <w:tcPr>
            <w:tcW w:w="1040" w:type="dxa"/>
            <w:tcBorders>
              <w:top w:val="nil"/>
              <w:left w:val="nil"/>
              <w:bottom w:val="single" w:sz="4" w:space="0" w:color="auto"/>
              <w:right w:val="single" w:sz="4" w:space="0" w:color="auto"/>
            </w:tcBorders>
            <w:shd w:val="clear" w:color="auto" w:fill="auto"/>
            <w:vAlign w:val="center"/>
            <w:hideMark/>
          </w:tcPr>
          <w:p w14:paraId="5D9E9DEA"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-0.00752***</w:t>
            </w:r>
          </w:p>
        </w:tc>
        <w:tc>
          <w:tcPr>
            <w:tcW w:w="1040" w:type="dxa"/>
            <w:tcBorders>
              <w:top w:val="nil"/>
              <w:left w:val="nil"/>
              <w:bottom w:val="single" w:sz="4" w:space="0" w:color="auto"/>
              <w:right w:val="single" w:sz="4" w:space="0" w:color="auto"/>
            </w:tcBorders>
            <w:shd w:val="clear" w:color="auto" w:fill="auto"/>
            <w:vAlign w:val="center"/>
            <w:hideMark/>
          </w:tcPr>
          <w:p w14:paraId="291D00BC"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0.0183***</w:t>
            </w:r>
          </w:p>
        </w:tc>
        <w:tc>
          <w:tcPr>
            <w:tcW w:w="875" w:type="dxa"/>
            <w:tcBorders>
              <w:top w:val="nil"/>
              <w:left w:val="nil"/>
              <w:bottom w:val="single" w:sz="4" w:space="0" w:color="auto"/>
              <w:right w:val="single" w:sz="4" w:space="0" w:color="auto"/>
            </w:tcBorders>
            <w:shd w:val="clear" w:color="auto" w:fill="auto"/>
            <w:vAlign w:val="center"/>
            <w:hideMark/>
          </w:tcPr>
          <w:p w14:paraId="58B20742"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0.167***</w:t>
            </w:r>
          </w:p>
        </w:tc>
        <w:tc>
          <w:tcPr>
            <w:tcW w:w="958" w:type="dxa"/>
            <w:tcBorders>
              <w:top w:val="nil"/>
              <w:left w:val="nil"/>
              <w:bottom w:val="single" w:sz="4" w:space="0" w:color="auto"/>
              <w:right w:val="single" w:sz="4" w:space="0" w:color="auto"/>
            </w:tcBorders>
            <w:shd w:val="clear" w:color="auto" w:fill="auto"/>
            <w:vAlign w:val="center"/>
            <w:hideMark/>
          </w:tcPr>
          <w:p w14:paraId="40CD5C72"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-0.0325***</w:t>
            </w:r>
          </w:p>
        </w:tc>
        <w:tc>
          <w:tcPr>
            <w:tcW w:w="945" w:type="dxa"/>
            <w:tcBorders>
              <w:top w:val="nil"/>
              <w:left w:val="nil"/>
              <w:bottom w:val="single" w:sz="4" w:space="0" w:color="auto"/>
              <w:right w:val="single" w:sz="8" w:space="0" w:color="auto"/>
            </w:tcBorders>
            <w:shd w:val="clear" w:color="auto" w:fill="auto"/>
            <w:vAlign w:val="center"/>
            <w:hideMark/>
          </w:tcPr>
          <w:p w14:paraId="216069B7"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-0.0300</w:t>
            </w:r>
          </w:p>
        </w:tc>
      </w:tr>
      <w:tr w:rsidR="00186CE3" w:rsidRPr="001A1CE1" w14:paraId="0E99A32C" w14:textId="77777777" w:rsidTr="00E8795E">
        <w:trPr>
          <w:trHeight w:val="217"/>
          <w:jc w:val="center"/>
        </w:trPr>
        <w:tc>
          <w:tcPr>
            <w:tcW w:w="1200" w:type="dxa"/>
            <w:tcBorders>
              <w:top w:val="nil"/>
              <w:left w:val="single" w:sz="8" w:space="0" w:color="auto"/>
              <w:bottom w:val="single" w:sz="4" w:space="0" w:color="auto"/>
              <w:right w:val="single" w:sz="8" w:space="0" w:color="auto"/>
            </w:tcBorders>
            <w:shd w:val="clear" w:color="000000" w:fill="D9D9D9"/>
            <w:noWrap/>
            <w:vAlign w:val="center"/>
            <w:hideMark/>
          </w:tcPr>
          <w:p w14:paraId="2B7004CF"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2010</w:t>
            </w:r>
          </w:p>
        </w:tc>
        <w:tc>
          <w:tcPr>
            <w:tcW w:w="958" w:type="dxa"/>
            <w:tcBorders>
              <w:top w:val="nil"/>
              <w:left w:val="nil"/>
              <w:bottom w:val="single" w:sz="4" w:space="0" w:color="auto"/>
              <w:right w:val="single" w:sz="4" w:space="0" w:color="auto"/>
            </w:tcBorders>
            <w:shd w:val="clear" w:color="auto" w:fill="auto"/>
            <w:vAlign w:val="center"/>
            <w:hideMark/>
          </w:tcPr>
          <w:p w14:paraId="03754302"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-0.0198**</w:t>
            </w:r>
          </w:p>
        </w:tc>
        <w:tc>
          <w:tcPr>
            <w:tcW w:w="1040" w:type="dxa"/>
            <w:tcBorders>
              <w:top w:val="nil"/>
              <w:left w:val="nil"/>
              <w:bottom w:val="single" w:sz="4" w:space="0" w:color="auto"/>
              <w:right w:val="single" w:sz="4" w:space="0" w:color="auto"/>
            </w:tcBorders>
            <w:shd w:val="clear" w:color="auto" w:fill="auto"/>
            <w:vAlign w:val="center"/>
            <w:hideMark/>
          </w:tcPr>
          <w:p w14:paraId="449853FB"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-0.0113***</w:t>
            </w:r>
          </w:p>
        </w:tc>
        <w:tc>
          <w:tcPr>
            <w:tcW w:w="1040" w:type="dxa"/>
            <w:tcBorders>
              <w:top w:val="nil"/>
              <w:left w:val="nil"/>
              <w:bottom w:val="single" w:sz="4" w:space="0" w:color="auto"/>
              <w:right w:val="single" w:sz="4" w:space="0" w:color="auto"/>
            </w:tcBorders>
            <w:shd w:val="clear" w:color="auto" w:fill="auto"/>
            <w:vAlign w:val="center"/>
            <w:hideMark/>
          </w:tcPr>
          <w:p w14:paraId="22DA9D20"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0.0274***</w:t>
            </w:r>
          </w:p>
        </w:tc>
        <w:tc>
          <w:tcPr>
            <w:tcW w:w="875" w:type="dxa"/>
            <w:tcBorders>
              <w:top w:val="nil"/>
              <w:left w:val="nil"/>
              <w:bottom w:val="single" w:sz="4" w:space="0" w:color="auto"/>
              <w:right w:val="single" w:sz="4" w:space="0" w:color="auto"/>
            </w:tcBorders>
            <w:shd w:val="clear" w:color="auto" w:fill="auto"/>
            <w:vAlign w:val="center"/>
            <w:hideMark/>
          </w:tcPr>
          <w:p w14:paraId="37CA9F67"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0.149***</w:t>
            </w:r>
          </w:p>
        </w:tc>
        <w:tc>
          <w:tcPr>
            <w:tcW w:w="958" w:type="dxa"/>
            <w:tcBorders>
              <w:top w:val="nil"/>
              <w:left w:val="nil"/>
              <w:bottom w:val="single" w:sz="4" w:space="0" w:color="auto"/>
              <w:right w:val="single" w:sz="4" w:space="0" w:color="auto"/>
            </w:tcBorders>
            <w:shd w:val="clear" w:color="auto" w:fill="auto"/>
            <w:vAlign w:val="center"/>
            <w:hideMark/>
          </w:tcPr>
          <w:p w14:paraId="735216E5"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-0.0487***</w:t>
            </w:r>
          </w:p>
        </w:tc>
        <w:tc>
          <w:tcPr>
            <w:tcW w:w="945" w:type="dxa"/>
            <w:tcBorders>
              <w:top w:val="nil"/>
              <w:left w:val="nil"/>
              <w:bottom w:val="single" w:sz="4" w:space="0" w:color="auto"/>
              <w:right w:val="single" w:sz="8" w:space="0" w:color="auto"/>
            </w:tcBorders>
            <w:shd w:val="clear" w:color="auto" w:fill="auto"/>
            <w:vAlign w:val="center"/>
            <w:hideMark/>
          </w:tcPr>
          <w:p w14:paraId="2F453F49"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0.0270</w:t>
            </w:r>
          </w:p>
        </w:tc>
      </w:tr>
      <w:tr w:rsidR="00186CE3" w:rsidRPr="001A1CE1" w14:paraId="3E9B36BA" w14:textId="77777777" w:rsidTr="00E8795E">
        <w:trPr>
          <w:trHeight w:val="217"/>
          <w:jc w:val="center"/>
        </w:trPr>
        <w:tc>
          <w:tcPr>
            <w:tcW w:w="1200" w:type="dxa"/>
            <w:tcBorders>
              <w:top w:val="nil"/>
              <w:left w:val="single" w:sz="8" w:space="0" w:color="auto"/>
              <w:bottom w:val="single" w:sz="4" w:space="0" w:color="auto"/>
              <w:right w:val="single" w:sz="8" w:space="0" w:color="auto"/>
            </w:tcBorders>
            <w:shd w:val="clear" w:color="000000" w:fill="D9D9D9"/>
            <w:noWrap/>
            <w:vAlign w:val="center"/>
            <w:hideMark/>
          </w:tcPr>
          <w:p w14:paraId="371585AF"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2011</w:t>
            </w:r>
          </w:p>
        </w:tc>
        <w:tc>
          <w:tcPr>
            <w:tcW w:w="958" w:type="dxa"/>
            <w:tcBorders>
              <w:top w:val="nil"/>
              <w:left w:val="nil"/>
              <w:bottom w:val="single" w:sz="4" w:space="0" w:color="auto"/>
              <w:right w:val="single" w:sz="4" w:space="0" w:color="auto"/>
            </w:tcBorders>
            <w:shd w:val="clear" w:color="auto" w:fill="auto"/>
            <w:vAlign w:val="center"/>
            <w:hideMark/>
          </w:tcPr>
          <w:p w14:paraId="4FB654FA"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-0.0341***</w:t>
            </w:r>
          </w:p>
        </w:tc>
        <w:tc>
          <w:tcPr>
            <w:tcW w:w="1040" w:type="dxa"/>
            <w:tcBorders>
              <w:top w:val="nil"/>
              <w:left w:val="nil"/>
              <w:bottom w:val="single" w:sz="4" w:space="0" w:color="auto"/>
              <w:right w:val="single" w:sz="4" w:space="0" w:color="auto"/>
            </w:tcBorders>
            <w:shd w:val="clear" w:color="auto" w:fill="auto"/>
            <w:vAlign w:val="center"/>
            <w:hideMark/>
          </w:tcPr>
          <w:p w14:paraId="20E6E2D3"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-0.0137***</w:t>
            </w:r>
          </w:p>
        </w:tc>
        <w:tc>
          <w:tcPr>
            <w:tcW w:w="1040" w:type="dxa"/>
            <w:tcBorders>
              <w:top w:val="nil"/>
              <w:left w:val="nil"/>
              <w:bottom w:val="single" w:sz="4" w:space="0" w:color="auto"/>
              <w:right w:val="single" w:sz="4" w:space="0" w:color="auto"/>
            </w:tcBorders>
            <w:shd w:val="clear" w:color="auto" w:fill="auto"/>
            <w:vAlign w:val="center"/>
            <w:hideMark/>
          </w:tcPr>
          <w:p w14:paraId="5498709F"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0.0301***</w:t>
            </w:r>
          </w:p>
        </w:tc>
        <w:tc>
          <w:tcPr>
            <w:tcW w:w="875" w:type="dxa"/>
            <w:tcBorders>
              <w:top w:val="nil"/>
              <w:left w:val="nil"/>
              <w:bottom w:val="single" w:sz="4" w:space="0" w:color="auto"/>
              <w:right w:val="single" w:sz="4" w:space="0" w:color="auto"/>
            </w:tcBorders>
            <w:shd w:val="clear" w:color="auto" w:fill="auto"/>
            <w:vAlign w:val="center"/>
            <w:hideMark/>
          </w:tcPr>
          <w:p w14:paraId="772577E6"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0.154***</w:t>
            </w:r>
          </w:p>
        </w:tc>
        <w:tc>
          <w:tcPr>
            <w:tcW w:w="958" w:type="dxa"/>
            <w:tcBorders>
              <w:top w:val="nil"/>
              <w:left w:val="nil"/>
              <w:bottom w:val="single" w:sz="4" w:space="0" w:color="auto"/>
              <w:right w:val="single" w:sz="4" w:space="0" w:color="auto"/>
            </w:tcBorders>
            <w:shd w:val="clear" w:color="auto" w:fill="auto"/>
            <w:vAlign w:val="center"/>
            <w:hideMark/>
          </w:tcPr>
          <w:p w14:paraId="7375A139"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-0.0580***</w:t>
            </w:r>
          </w:p>
        </w:tc>
        <w:tc>
          <w:tcPr>
            <w:tcW w:w="945" w:type="dxa"/>
            <w:tcBorders>
              <w:top w:val="nil"/>
              <w:left w:val="nil"/>
              <w:bottom w:val="single" w:sz="4" w:space="0" w:color="auto"/>
              <w:right w:val="single" w:sz="8" w:space="0" w:color="auto"/>
            </w:tcBorders>
            <w:shd w:val="clear" w:color="auto" w:fill="auto"/>
            <w:vAlign w:val="center"/>
            <w:hideMark/>
          </w:tcPr>
          <w:p w14:paraId="02B6EC7D"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0.0569***</w:t>
            </w:r>
          </w:p>
        </w:tc>
      </w:tr>
      <w:tr w:rsidR="00186CE3" w:rsidRPr="001A1CE1" w14:paraId="42F388BD" w14:textId="77777777" w:rsidTr="00E8795E">
        <w:trPr>
          <w:trHeight w:val="217"/>
          <w:jc w:val="center"/>
        </w:trPr>
        <w:tc>
          <w:tcPr>
            <w:tcW w:w="1200" w:type="dxa"/>
            <w:tcBorders>
              <w:top w:val="nil"/>
              <w:left w:val="single" w:sz="8" w:space="0" w:color="auto"/>
              <w:bottom w:val="single" w:sz="4" w:space="0" w:color="auto"/>
              <w:right w:val="single" w:sz="8" w:space="0" w:color="auto"/>
            </w:tcBorders>
            <w:shd w:val="clear" w:color="000000" w:fill="D9D9D9"/>
            <w:noWrap/>
            <w:vAlign w:val="center"/>
            <w:hideMark/>
          </w:tcPr>
          <w:p w14:paraId="638F43B4"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2012</w:t>
            </w:r>
          </w:p>
        </w:tc>
        <w:tc>
          <w:tcPr>
            <w:tcW w:w="958" w:type="dxa"/>
            <w:tcBorders>
              <w:top w:val="nil"/>
              <w:left w:val="nil"/>
              <w:bottom w:val="single" w:sz="4" w:space="0" w:color="auto"/>
              <w:right w:val="single" w:sz="4" w:space="0" w:color="auto"/>
            </w:tcBorders>
            <w:shd w:val="clear" w:color="auto" w:fill="auto"/>
            <w:vAlign w:val="center"/>
            <w:hideMark/>
          </w:tcPr>
          <w:p w14:paraId="0A2541D6"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-0.0302***</w:t>
            </w:r>
          </w:p>
        </w:tc>
        <w:tc>
          <w:tcPr>
            <w:tcW w:w="1040" w:type="dxa"/>
            <w:tcBorders>
              <w:top w:val="nil"/>
              <w:left w:val="nil"/>
              <w:bottom w:val="single" w:sz="4" w:space="0" w:color="auto"/>
              <w:right w:val="single" w:sz="4" w:space="0" w:color="auto"/>
            </w:tcBorders>
            <w:shd w:val="clear" w:color="auto" w:fill="auto"/>
            <w:vAlign w:val="center"/>
            <w:hideMark/>
          </w:tcPr>
          <w:p w14:paraId="525B625E"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-0.0160***</w:t>
            </w:r>
          </w:p>
        </w:tc>
        <w:tc>
          <w:tcPr>
            <w:tcW w:w="1040" w:type="dxa"/>
            <w:tcBorders>
              <w:top w:val="nil"/>
              <w:left w:val="nil"/>
              <w:bottom w:val="single" w:sz="4" w:space="0" w:color="auto"/>
              <w:right w:val="single" w:sz="4" w:space="0" w:color="auto"/>
            </w:tcBorders>
            <w:shd w:val="clear" w:color="auto" w:fill="auto"/>
            <w:vAlign w:val="center"/>
            <w:hideMark/>
          </w:tcPr>
          <w:p w14:paraId="16D98FC3"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0.0350***</w:t>
            </w:r>
          </w:p>
        </w:tc>
        <w:tc>
          <w:tcPr>
            <w:tcW w:w="875" w:type="dxa"/>
            <w:tcBorders>
              <w:top w:val="nil"/>
              <w:left w:val="nil"/>
              <w:bottom w:val="single" w:sz="4" w:space="0" w:color="auto"/>
              <w:right w:val="single" w:sz="4" w:space="0" w:color="auto"/>
            </w:tcBorders>
            <w:shd w:val="clear" w:color="auto" w:fill="auto"/>
            <w:vAlign w:val="center"/>
            <w:hideMark/>
          </w:tcPr>
          <w:p w14:paraId="336CD6A0"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0.215***</w:t>
            </w:r>
          </w:p>
        </w:tc>
        <w:tc>
          <w:tcPr>
            <w:tcW w:w="958" w:type="dxa"/>
            <w:tcBorders>
              <w:top w:val="nil"/>
              <w:left w:val="nil"/>
              <w:bottom w:val="single" w:sz="4" w:space="0" w:color="auto"/>
              <w:right w:val="single" w:sz="4" w:space="0" w:color="auto"/>
            </w:tcBorders>
            <w:shd w:val="clear" w:color="auto" w:fill="auto"/>
            <w:vAlign w:val="center"/>
            <w:hideMark/>
          </w:tcPr>
          <w:p w14:paraId="71728719"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-0.0662***</w:t>
            </w:r>
          </w:p>
        </w:tc>
        <w:tc>
          <w:tcPr>
            <w:tcW w:w="945" w:type="dxa"/>
            <w:tcBorders>
              <w:top w:val="nil"/>
              <w:left w:val="nil"/>
              <w:bottom w:val="single" w:sz="4" w:space="0" w:color="auto"/>
              <w:right w:val="single" w:sz="8" w:space="0" w:color="auto"/>
            </w:tcBorders>
            <w:shd w:val="clear" w:color="auto" w:fill="auto"/>
            <w:vAlign w:val="center"/>
            <w:hideMark/>
          </w:tcPr>
          <w:p w14:paraId="51B5B527"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0.0615***</w:t>
            </w:r>
          </w:p>
        </w:tc>
      </w:tr>
      <w:tr w:rsidR="00186CE3" w:rsidRPr="001A1CE1" w14:paraId="486A6A41" w14:textId="77777777" w:rsidTr="00E8795E">
        <w:trPr>
          <w:trHeight w:val="217"/>
          <w:jc w:val="center"/>
        </w:trPr>
        <w:tc>
          <w:tcPr>
            <w:tcW w:w="1200" w:type="dxa"/>
            <w:tcBorders>
              <w:top w:val="nil"/>
              <w:left w:val="single" w:sz="8" w:space="0" w:color="auto"/>
              <w:bottom w:val="single" w:sz="4" w:space="0" w:color="auto"/>
              <w:right w:val="single" w:sz="8" w:space="0" w:color="auto"/>
            </w:tcBorders>
            <w:shd w:val="clear" w:color="000000" w:fill="D9D9D9"/>
            <w:noWrap/>
            <w:vAlign w:val="center"/>
            <w:hideMark/>
          </w:tcPr>
          <w:p w14:paraId="13D17FE6"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2013</w:t>
            </w:r>
          </w:p>
        </w:tc>
        <w:tc>
          <w:tcPr>
            <w:tcW w:w="958" w:type="dxa"/>
            <w:tcBorders>
              <w:top w:val="nil"/>
              <w:left w:val="nil"/>
              <w:bottom w:val="single" w:sz="4" w:space="0" w:color="auto"/>
              <w:right w:val="single" w:sz="4" w:space="0" w:color="auto"/>
            </w:tcBorders>
            <w:shd w:val="clear" w:color="auto" w:fill="auto"/>
            <w:vAlign w:val="center"/>
            <w:hideMark/>
          </w:tcPr>
          <w:p w14:paraId="672447BC"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-0.0276***</w:t>
            </w:r>
          </w:p>
        </w:tc>
        <w:tc>
          <w:tcPr>
            <w:tcW w:w="1040" w:type="dxa"/>
            <w:tcBorders>
              <w:top w:val="nil"/>
              <w:left w:val="nil"/>
              <w:bottom w:val="single" w:sz="4" w:space="0" w:color="auto"/>
              <w:right w:val="single" w:sz="4" w:space="0" w:color="auto"/>
            </w:tcBorders>
            <w:shd w:val="clear" w:color="auto" w:fill="auto"/>
            <w:vAlign w:val="center"/>
            <w:hideMark/>
          </w:tcPr>
          <w:p w14:paraId="75E0E570"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-0.0174***</w:t>
            </w:r>
          </w:p>
        </w:tc>
        <w:tc>
          <w:tcPr>
            <w:tcW w:w="1040" w:type="dxa"/>
            <w:tcBorders>
              <w:top w:val="nil"/>
              <w:left w:val="nil"/>
              <w:bottom w:val="single" w:sz="4" w:space="0" w:color="auto"/>
              <w:right w:val="single" w:sz="4" w:space="0" w:color="auto"/>
            </w:tcBorders>
            <w:shd w:val="clear" w:color="auto" w:fill="auto"/>
            <w:vAlign w:val="center"/>
            <w:hideMark/>
          </w:tcPr>
          <w:p w14:paraId="4FCEFA57"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0.0396***</w:t>
            </w:r>
          </w:p>
        </w:tc>
        <w:tc>
          <w:tcPr>
            <w:tcW w:w="875" w:type="dxa"/>
            <w:tcBorders>
              <w:top w:val="nil"/>
              <w:left w:val="nil"/>
              <w:bottom w:val="single" w:sz="4" w:space="0" w:color="auto"/>
              <w:right w:val="single" w:sz="4" w:space="0" w:color="auto"/>
            </w:tcBorders>
            <w:shd w:val="clear" w:color="auto" w:fill="auto"/>
            <w:vAlign w:val="center"/>
            <w:hideMark/>
          </w:tcPr>
          <w:p w14:paraId="5266B0CC"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0.244***</w:t>
            </w:r>
          </w:p>
        </w:tc>
        <w:tc>
          <w:tcPr>
            <w:tcW w:w="958" w:type="dxa"/>
            <w:tcBorders>
              <w:top w:val="nil"/>
              <w:left w:val="nil"/>
              <w:bottom w:val="single" w:sz="4" w:space="0" w:color="auto"/>
              <w:right w:val="single" w:sz="4" w:space="0" w:color="auto"/>
            </w:tcBorders>
            <w:shd w:val="clear" w:color="auto" w:fill="auto"/>
            <w:vAlign w:val="center"/>
            <w:hideMark/>
          </w:tcPr>
          <w:p w14:paraId="4899701B"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-0.0706***</w:t>
            </w:r>
          </w:p>
        </w:tc>
        <w:tc>
          <w:tcPr>
            <w:tcW w:w="945" w:type="dxa"/>
            <w:tcBorders>
              <w:top w:val="nil"/>
              <w:left w:val="nil"/>
              <w:bottom w:val="single" w:sz="4" w:space="0" w:color="auto"/>
              <w:right w:val="single" w:sz="8" w:space="0" w:color="auto"/>
            </w:tcBorders>
            <w:shd w:val="clear" w:color="auto" w:fill="auto"/>
            <w:vAlign w:val="center"/>
            <w:hideMark/>
          </w:tcPr>
          <w:p w14:paraId="416E8829"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0.0662***</w:t>
            </w:r>
          </w:p>
        </w:tc>
      </w:tr>
      <w:tr w:rsidR="00186CE3" w:rsidRPr="001A1CE1" w14:paraId="3AA6D1A3" w14:textId="77777777" w:rsidTr="00E8795E">
        <w:trPr>
          <w:trHeight w:val="217"/>
          <w:jc w:val="center"/>
        </w:trPr>
        <w:tc>
          <w:tcPr>
            <w:tcW w:w="1200" w:type="dxa"/>
            <w:tcBorders>
              <w:top w:val="nil"/>
              <w:left w:val="single" w:sz="8" w:space="0" w:color="auto"/>
              <w:bottom w:val="single" w:sz="4" w:space="0" w:color="auto"/>
              <w:right w:val="single" w:sz="8" w:space="0" w:color="auto"/>
            </w:tcBorders>
            <w:shd w:val="clear" w:color="000000" w:fill="D9D9D9"/>
            <w:noWrap/>
            <w:vAlign w:val="center"/>
            <w:hideMark/>
          </w:tcPr>
          <w:p w14:paraId="357B25E4"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2014</w:t>
            </w:r>
          </w:p>
        </w:tc>
        <w:tc>
          <w:tcPr>
            <w:tcW w:w="958" w:type="dxa"/>
            <w:tcBorders>
              <w:top w:val="nil"/>
              <w:left w:val="nil"/>
              <w:bottom w:val="single" w:sz="4" w:space="0" w:color="auto"/>
              <w:right w:val="single" w:sz="4" w:space="0" w:color="auto"/>
            </w:tcBorders>
            <w:shd w:val="clear" w:color="auto" w:fill="auto"/>
            <w:vAlign w:val="center"/>
            <w:hideMark/>
          </w:tcPr>
          <w:p w14:paraId="50697358"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-0.0348***</w:t>
            </w:r>
          </w:p>
        </w:tc>
        <w:tc>
          <w:tcPr>
            <w:tcW w:w="1040" w:type="dxa"/>
            <w:tcBorders>
              <w:top w:val="nil"/>
              <w:left w:val="nil"/>
              <w:bottom w:val="single" w:sz="4" w:space="0" w:color="auto"/>
              <w:right w:val="single" w:sz="4" w:space="0" w:color="auto"/>
            </w:tcBorders>
            <w:shd w:val="clear" w:color="auto" w:fill="auto"/>
            <w:vAlign w:val="center"/>
            <w:hideMark/>
          </w:tcPr>
          <w:p w14:paraId="787AD6CD"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-0.0178***</w:t>
            </w:r>
          </w:p>
        </w:tc>
        <w:tc>
          <w:tcPr>
            <w:tcW w:w="1040" w:type="dxa"/>
            <w:tcBorders>
              <w:top w:val="nil"/>
              <w:left w:val="nil"/>
              <w:bottom w:val="single" w:sz="4" w:space="0" w:color="auto"/>
              <w:right w:val="single" w:sz="4" w:space="0" w:color="auto"/>
            </w:tcBorders>
            <w:shd w:val="clear" w:color="auto" w:fill="auto"/>
            <w:vAlign w:val="center"/>
            <w:hideMark/>
          </w:tcPr>
          <w:p w14:paraId="1B8F5C87"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0.0398***</w:t>
            </w:r>
          </w:p>
        </w:tc>
        <w:tc>
          <w:tcPr>
            <w:tcW w:w="875" w:type="dxa"/>
            <w:tcBorders>
              <w:top w:val="nil"/>
              <w:left w:val="nil"/>
              <w:bottom w:val="single" w:sz="4" w:space="0" w:color="auto"/>
              <w:right w:val="single" w:sz="4" w:space="0" w:color="auto"/>
            </w:tcBorders>
            <w:shd w:val="clear" w:color="auto" w:fill="auto"/>
            <w:vAlign w:val="center"/>
            <w:hideMark/>
          </w:tcPr>
          <w:p w14:paraId="65DD69CD"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0.202***</w:t>
            </w:r>
          </w:p>
        </w:tc>
        <w:tc>
          <w:tcPr>
            <w:tcW w:w="958" w:type="dxa"/>
            <w:tcBorders>
              <w:top w:val="nil"/>
              <w:left w:val="nil"/>
              <w:bottom w:val="single" w:sz="4" w:space="0" w:color="auto"/>
              <w:right w:val="single" w:sz="4" w:space="0" w:color="auto"/>
            </w:tcBorders>
            <w:shd w:val="clear" w:color="auto" w:fill="auto"/>
            <w:vAlign w:val="center"/>
            <w:hideMark/>
          </w:tcPr>
          <w:p w14:paraId="7A30D79A"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-0.0600***</w:t>
            </w:r>
          </w:p>
        </w:tc>
        <w:tc>
          <w:tcPr>
            <w:tcW w:w="945" w:type="dxa"/>
            <w:tcBorders>
              <w:top w:val="nil"/>
              <w:left w:val="nil"/>
              <w:bottom w:val="single" w:sz="4" w:space="0" w:color="auto"/>
              <w:right w:val="single" w:sz="8" w:space="0" w:color="auto"/>
            </w:tcBorders>
            <w:shd w:val="clear" w:color="auto" w:fill="auto"/>
            <w:vAlign w:val="center"/>
            <w:hideMark/>
          </w:tcPr>
          <w:p w14:paraId="3ECC31FF"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0.0719***</w:t>
            </w:r>
          </w:p>
        </w:tc>
      </w:tr>
      <w:tr w:rsidR="00186CE3" w:rsidRPr="001A1CE1" w14:paraId="57EF2A18" w14:textId="77777777" w:rsidTr="00E8795E">
        <w:trPr>
          <w:trHeight w:val="217"/>
          <w:jc w:val="center"/>
        </w:trPr>
        <w:tc>
          <w:tcPr>
            <w:tcW w:w="1200" w:type="dxa"/>
            <w:tcBorders>
              <w:top w:val="nil"/>
              <w:left w:val="single" w:sz="8" w:space="0" w:color="auto"/>
              <w:bottom w:val="single" w:sz="4" w:space="0" w:color="auto"/>
              <w:right w:val="single" w:sz="8" w:space="0" w:color="auto"/>
            </w:tcBorders>
            <w:shd w:val="clear" w:color="000000" w:fill="D9D9D9"/>
            <w:noWrap/>
            <w:vAlign w:val="center"/>
            <w:hideMark/>
          </w:tcPr>
          <w:p w14:paraId="2CC5376D"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2015</w:t>
            </w:r>
          </w:p>
        </w:tc>
        <w:tc>
          <w:tcPr>
            <w:tcW w:w="958" w:type="dxa"/>
            <w:tcBorders>
              <w:top w:val="nil"/>
              <w:left w:val="nil"/>
              <w:bottom w:val="single" w:sz="4" w:space="0" w:color="auto"/>
              <w:right w:val="single" w:sz="4" w:space="0" w:color="auto"/>
            </w:tcBorders>
            <w:shd w:val="clear" w:color="auto" w:fill="auto"/>
            <w:vAlign w:val="center"/>
            <w:hideMark/>
          </w:tcPr>
          <w:p w14:paraId="24EC28F1"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-0.0469***</w:t>
            </w:r>
          </w:p>
        </w:tc>
        <w:tc>
          <w:tcPr>
            <w:tcW w:w="1040" w:type="dxa"/>
            <w:tcBorders>
              <w:top w:val="nil"/>
              <w:left w:val="nil"/>
              <w:bottom w:val="single" w:sz="4" w:space="0" w:color="auto"/>
              <w:right w:val="single" w:sz="4" w:space="0" w:color="auto"/>
            </w:tcBorders>
            <w:shd w:val="clear" w:color="auto" w:fill="auto"/>
            <w:vAlign w:val="center"/>
            <w:hideMark/>
          </w:tcPr>
          <w:p w14:paraId="12EB5EF3"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-0.0200***</w:t>
            </w:r>
          </w:p>
        </w:tc>
        <w:tc>
          <w:tcPr>
            <w:tcW w:w="1040" w:type="dxa"/>
            <w:tcBorders>
              <w:top w:val="nil"/>
              <w:left w:val="nil"/>
              <w:bottom w:val="single" w:sz="4" w:space="0" w:color="auto"/>
              <w:right w:val="single" w:sz="4" w:space="0" w:color="auto"/>
            </w:tcBorders>
            <w:shd w:val="clear" w:color="auto" w:fill="auto"/>
            <w:vAlign w:val="center"/>
            <w:hideMark/>
          </w:tcPr>
          <w:p w14:paraId="6AA648FF"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0.0413***</w:t>
            </w:r>
          </w:p>
        </w:tc>
        <w:tc>
          <w:tcPr>
            <w:tcW w:w="875" w:type="dxa"/>
            <w:tcBorders>
              <w:top w:val="nil"/>
              <w:left w:val="nil"/>
              <w:bottom w:val="single" w:sz="4" w:space="0" w:color="auto"/>
              <w:right w:val="single" w:sz="4" w:space="0" w:color="auto"/>
            </w:tcBorders>
            <w:shd w:val="clear" w:color="auto" w:fill="auto"/>
            <w:vAlign w:val="center"/>
            <w:hideMark/>
          </w:tcPr>
          <w:p w14:paraId="084B4BBC"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0.174***</w:t>
            </w:r>
          </w:p>
        </w:tc>
        <w:tc>
          <w:tcPr>
            <w:tcW w:w="958" w:type="dxa"/>
            <w:tcBorders>
              <w:top w:val="nil"/>
              <w:left w:val="nil"/>
              <w:bottom w:val="single" w:sz="4" w:space="0" w:color="auto"/>
              <w:right w:val="single" w:sz="4" w:space="0" w:color="auto"/>
            </w:tcBorders>
            <w:shd w:val="clear" w:color="auto" w:fill="auto"/>
            <w:vAlign w:val="center"/>
            <w:hideMark/>
          </w:tcPr>
          <w:p w14:paraId="4BA530C1"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-0.0607***</w:t>
            </w:r>
          </w:p>
        </w:tc>
        <w:tc>
          <w:tcPr>
            <w:tcW w:w="945" w:type="dxa"/>
            <w:tcBorders>
              <w:top w:val="nil"/>
              <w:left w:val="nil"/>
              <w:bottom w:val="single" w:sz="4" w:space="0" w:color="auto"/>
              <w:right w:val="single" w:sz="8" w:space="0" w:color="auto"/>
            </w:tcBorders>
            <w:shd w:val="clear" w:color="auto" w:fill="auto"/>
            <w:vAlign w:val="center"/>
            <w:hideMark/>
          </w:tcPr>
          <w:p w14:paraId="1B4C4491"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0.0936***</w:t>
            </w:r>
          </w:p>
        </w:tc>
      </w:tr>
      <w:tr w:rsidR="00186CE3" w:rsidRPr="001A1CE1" w14:paraId="2F492D65" w14:textId="77777777" w:rsidTr="00E8795E">
        <w:trPr>
          <w:trHeight w:val="217"/>
          <w:jc w:val="center"/>
        </w:trPr>
        <w:tc>
          <w:tcPr>
            <w:tcW w:w="1200" w:type="dxa"/>
            <w:tcBorders>
              <w:top w:val="nil"/>
              <w:left w:val="single" w:sz="8" w:space="0" w:color="auto"/>
              <w:bottom w:val="single" w:sz="4" w:space="0" w:color="auto"/>
              <w:right w:val="single" w:sz="8" w:space="0" w:color="auto"/>
            </w:tcBorders>
            <w:shd w:val="clear" w:color="000000" w:fill="D9D9D9"/>
            <w:noWrap/>
            <w:vAlign w:val="center"/>
            <w:hideMark/>
          </w:tcPr>
          <w:p w14:paraId="0D2EB622"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2016</w:t>
            </w:r>
          </w:p>
        </w:tc>
        <w:tc>
          <w:tcPr>
            <w:tcW w:w="958" w:type="dxa"/>
            <w:tcBorders>
              <w:top w:val="nil"/>
              <w:left w:val="nil"/>
              <w:bottom w:val="single" w:sz="4" w:space="0" w:color="auto"/>
              <w:right w:val="single" w:sz="4" w:space="0" w:color="auto"/>
            </w:tcBorders>
            <w:shd w:val="clear" w:color="auto" w:fill="auto"/>
            <w:vAlign w:val="center"/>
            <w:hideMark/>
          </w:tcPr>
          <w:p w14:paraId="540E00E8"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-0.0557***</w:t>
            </w:r>
          </w:p>
        </w:tc>
        <w:tc>
          <w:tcPr>
            <w:tcW w:w="1040" w:type="dxa"/>
            <w:tcBorders>
              <w:top w:val="nil"/>
              <w:left w:val="nil"/>
              <w:bottom w:val="single" w:sz="4" w:space="0" w:color="auto"/>
              <w:right w:val="single" w:sz="4" w:space="0" w:color="auto"/>
            </w:tcBorders>
            <w:shd w:val="clear" w:color="auto" w:fill="auto"/>
            <w:vAlign w:val="center"/>
            <w:hideMark/>
          </w:tcPr>
          <w:p w14:paraId="384593DB"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-0.0200***</w:t>
            </w:r>
          </w:p>
        </w:tc>
        <w:tc>
          <w:tcPr>
            <w:tcW w:w="1040" w:type="dxa"/>
            <w:tcBorders>
              <w:top w:val="nil"/>
              <w:left w:val="nil"/>
              <w:bottom w:val="single" w:sz="4" w:space="0" w:color="auto"/>
              <w:right w:val="single" w:sz="4" w:space="0" w:color="auto"/>
            </w:tcBorders>
            <w:shd w:val="clear" w:color="auto" w:fill="auto"/>
            <w:vAlign w:val="center"/>
            <w:hideMark/>
          </w:tcPr>
          <w:p w14:paraId="60460EA6"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0.0398***</w:t>
            </w:r>
          </w:p>
        </w:tc>
        <w:tc>
          <w:tcPr>
            <w:tcW w:w="875" w:type="dxa"/>
            <w:tcBorders>
              <w:top w:val="nil"/>
              <w:left w:val="nil"/>
              <w:bottom w:val="single" w:sz="4" w:space="0" w:color="auto"/>
              <w:right w:val="single" w:sz="4" w:space="0" w:color="auto"/>
            </w:tcBorders>
            <w:shd w:val="clear" w:color="auto" w:fill="auto"/>
            <w:vAlign w:val="center"/>
            <w:hideMark/>
          </w:tcPr>
          <w:p w14:paraId="7AACEB31"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0.153***</w:t>
            </w:r>
          </w:p>
        </w:tc>
        <w:tc>
          <w:tcPr>
            <w:tcW w:w="958" w:type="dxa"/>
            <w:tcBorders>
              <w:top w:val="nil"/>
              <w:left w:val="nil"/>
              <w:bottom w:val="single" w:sz="4" w:space="0" w:color="auto"/>
              <w:right w:val="single" w:sz="4" w:space="0" w:color="auto"/>
            </w:tcBorders>
            <w:shd w:val="clear" w:color="auto" w:fill="auto"/>
            <w:vAlign w:val="center"/>
            <w:hideMark/>
          </w:tcPr>
          <w:p w14:paraId="56C79E6D"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-0.0604***</w:t>
            </w:r>
          </w:p>
        </w:tc>
        <w:tc>
          <w:tcPr>
            <w:tcW w:w="945" w:type="dxa"/>
            <w:tcBorders>
              <w:top w:val="nil"/>
              <w:left w:val="nil"/>
              <w:bottom w:val="single" w:sz="4" w:space="0" w:color="auto"/>
              <w:right w:val="single" w:sz="8" w:space="0" w:color="auto"/>
            </w:tcBorders>
            <w:shd w:val="clear" w:color="auto" w:fill="auto"/>
            <w:vAlign w:val="center"/>
            <w:hideMark/>
          </w:tcPr>
          <w:p w14:paraId="43159D87"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0.101***</w:t>
            </w:r>
          </w:p>
        </w:tc>
      </w:tr>
      <w:tr w:rsidR="00186CE3" w:rsidRPr="001A1CE1" w14:paraId="50ED0FB5" w14:textId="77777777" w:rsidTr="00E8795E">
        <w:trPr>
          <w:trHeight w:val="217"/>
          <w:jc w:val="center"/>
        </w:trPr>
        <w:tc>
          <w:tcPr>
            <w:tcW w:w="1200" w:type="dxa"/>
            <w:tcBorders>
              <w:top w:val="nil"/>
              <w:left w:val="single" w:sz="8" w:space="0" w:color="auto"/>
              <w:bottom w:val="single" w:sz="4" w:space="0" w:color="auto"/>
              <w:right w:val="single" w:sz="8" w:space="0" w:color="auto"/>
            </w:tcBorders>
            <w:shd w:val="clear" w:color="000000" w:fill="D9D9D9"/>
            <w:noWrap/>
            <w:vAlign w:val="center"/>
            <w:hideMark/>
          </w:tcPr>
          <w:p w14:paraId="255F3E01"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Constant</w:t>
            </w:r>
          </w:p>
        </w:tc>
        <w:tc>
          <w:tcPr>
            <w:tcW w:w="958" w:type="dxa"/>
            <w:tcBorders>
              <w:top w:val="nil"/>
              <w:left w:val="nil"/>
              <w:bottom w:val="single" w:sz="4" w:space="0" w:color="auto"/>
              <w:right w:val="single" w:sz="4" w:space="0" w:color="auto"/>
            </w:tcBorders>
            <w:shd w:val="clear" w:color="auto" w:fill="auto"/>
            <w:vAlign w:val="center"/>
            <w:hideMark/>
          </w:tcPr>
          <w:p w14:paraId="51DA7CB0"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-12.69***</w:t>
            </w:r>
          </w:p>
        </w:tc>
        <w:tc>
          <w:tcPr>
            <w:tcW w:w="1040" w:type="dxa"/>
            <w:tcBorders>
              <w:top w:val="nil"/>
              <w:left w:val="nil"/>
              <w:bottom w:val="single" w:sz="4" w:space="0" w:color="auto"/>
              <w:right w:val="single" w:sz="4" w:space="0" w:color="auto"/>
            </w:tcBorders>
            <w:shd w:val="clear" w:color="auto" w:fill="auto"/>
            <w:vAlign w:val="center"/>
            <w:hideMark/>
          </w:tcPr>
          <w:p w14:paraId="45EE3AFD"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-0.392*</w:t>
            </w:r>
          </w:p>
        </w:tc>
        <w:tc>
          <w:tcPr>
            <w:tcW w:w="1040" w:type="dxa"/>
            <w:tcBorders>
              <w:top w:val="nil"/>
              <w:left w:val="nil"/>
              <w:bottom w:val="single" w:sz="4" w:space="0" w:color="auto"/>
              <w:right w:val="single" w:sz="4" w:space="0" w:color="auto"/>
            </w:tcBorders>
            <w:shd w:val="clear" w:color="auto" w:fill="auto"/>
            <w:vAlign w:val="center"/>
            <w:hideMark/>
          </w:tcPr>
          <w:p w14:paraId="5F59C796"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4.477***</w:t>
            </w:r>
          </w:p>
        </w:tc>
        <w:tc>
          <w:tcPr>
            <w:tcW w:w="875" w:type="dxa"/>
            <w:tcBorders>
              <w:top w:val="nil"/>
              <w:left w:val="nil"/>
              <w:bottom w:val="single" w:sz="4" w:space="0" w:color="auto"/>
              <w:right w:val="single" w:sz="4" w:space="0" w:color="auto"/>
            </w:tcBorders>
            <w:shd w:val="clear" w:color="auto" w:fill="auto"/>
            <w:vAlign w:val="center"/>
            <w:hideMark/>
          </w:tcPr>
          <w:p w14:paraId="124AB0DE"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-4.339</w:t>
            </w:r>
          </w:p>
        </w:tc>
        <w:tc>
          <w:tcPr>
            <w:tcW w:w="958" w:type="dxa"/>
            <w:tcBorders>
              <w:top w:val="nil"/>
              <w:left w:val="nil"/>
              <w:bottom w:val="single" w:sz="4" w:space="0" w:color="auto"/>
              <w:right w:val="single" w:sz="4" w:space="0" w:color="auto"/>
            </w:tcBorders>
            <w:shd w:val="clear" w:color="auto" w:fill="auto"/>
            <w:vAlign w:val="center"/>
            <w:hideMark/>
          </w:tcPr>
          <w:p w14:paraId="566FF34A"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-5.937***</w:t>
            </w:r>
          </w:p>
        </w:tc>
        <w:tc>
          <w:tcPr>
            <w:tcW w:w="945" w:type="dxa"/>
            <w:tcBorders>
              <w:top w:val="nil"/>
              <w:left w:val="nil"/>
              <w:bottom w:val="single" w:sz="4" w:space="0" w:color="auto"/>
              <w:right w:val="single" w:sz="8" w:space="0" w:color="auto"/>
            </w:tcBorders>
            <w:shd w:val="clear" w:color="auto" w:fill="auto"/>
            <w:vAlign w:val="center"/>
            <w:hideMark/>
          </w:tcPr>
          <w:p w14:paraId="1FD53208"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-30.49***</w:t>
            </w:r>
          </w:p>
        </w:tc>
      </w:tr>
      <w:tr w:rsidR="00186CE3" w:rsidRPr="001A1CE1" w14:paraId="0DC2ADF4" w14:textId="77777777" w:rsidTr="00E8795E">
        <w:trPr>
          <w:trHeight w:val="435"/>
          <w:jc w:val="center"/>
        </w:trPr>
        <w:tc>
          <w:tcPr>
            <w:tcW w:w="1200" w:type="dxa"/>
            <w:tcBorders>
              <w:top w:val="nil"/>
              <w:left w:val="single" w:sz="8" w:space="0" w:color="auto"/>
              <w:bottom w:val="single" w:sz="4" w:space="0" w:color="auto"/>
              <w:right w:val="single" w:sz="8" w:space="0" w:color="auto"/>
            </w:tcBorders>
            <w:shd w:val="clear" w:color="000000" w:fill="D9D9D9"/>
            <w:vAlign w:val="center"/>
            <w:hideMark/>
          </w:tcPr>
          <w:p w14:paraId="31807270"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 xml:space="preserve">Number of </w:t>
            </w:r>
            <w:r w:rsidRPr="001A1CE1">
              <w:rPr>
                <w:rFonts w:ascii="TimesNewRomanPSMT" w:hAnsi="TimesNewRomanPSMT" w:cs="TimesNewRomanPSMT"/>
                <w:color w:val="000000"/>
                <w:sz w:val="20"/>
                <w:szCs w:val="20"/>
                <w:lang w:val="en-GB"/>
              </w:rPr>
              <w:br/>
              <w:t>observations</w:t>
            </w:r>
          </w:p>
        </w:tc>
        <w:tc>
          <w:tcPr>
            <w:tcW w:w="958" w:type="dxa"/>
            <w:tcBorders>
              <w:top w:val="nil"/>
              <w:left w:val="nil"/>
              <w:bottom w:val="single" w:sz="4" w:space="0" w:color="auto"/>
              <w:right w:val="single" w:sz="4" w:space="0" w:color="auto"/>
            </w:tcBorders>
            <w:shd w:val="clear" w:color="auto" w:fill="auto"/>
            <w:noWrap/>
            <w:vAlign w:val="center"/>
            <w:hideMark/>
          </w:tcPr>
          <w:p w14:paraId="27B30ACE"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252</w:t>
            </w:r>
          </w:p>
        </w:tc>
        <w:tc>
          <w:tcPr>
            <w:tcW w:w="1040" w:type="dxa"/>
            <w:tcBorders>
              <w:top w:val="nil"/>
              <w:left w:val="nil"/>
              <w:bottom w:val="single" w:sz="4" w:space="0" w:color="auto"/>
              <w:right w:val="single" w:sz="4" w:space="0" w:color="auto"/>
            </w:tcBorders>
            <w:shd w:val="clear" w:color="auto" w:fill="auto"/>
            <w:noWrap/>
            <w:vAlign w:val="center"/>
            <w:hideMark/>
          </w:tcPr>
          <w:p w14:paraId="1AB24BB1"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252</w:t>
            </w:r>
          </w:p>
        </w:tc>
        <w:tc>
          <w:tcPr>
            <w:tcW w:w="1040" w:type="dxa"/>
            <w:tcBorders>
              <w:top w:val="nil"/>
              <w:left w:val="nil"/>
              <w:bottom w:val="single" w:sz="4" w:space="0" w:color="auto"/>
              <w:right w:val="single" w:sz="4" w:space="0" w:color="auto"/>
            </w:tcBorders>
            <w:shd w:val="clear" w:color="auto" w:fill="auto"/>
            <w:noWrap/>
            <w:vAlign w:val="center"/>
            <w:hideMark/>
          </w:tcPr>
          <w:p w14:paraId="450E8A62"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252</w:t>
            </w:r>
          </w:p>
        </w:tc>
        <w:tc>
          <w:tcPr>
            <w:tcW w:w="875" w:type="dxa"/>
            <w:tcBorders>
              <w:top w:val="nil"/>
              <w:left w:val="nil"/>
              <w:bottom w:val="single" w:sz="4" w:space="0" w:color="auto"/>
              <w:right w:val="single" w:sz="4" w:space="0" w:color="auto"/>
            </w:tcBorders>
            <w:shd w:val="clear" w:color="auto" w:fill="auto"/>
            <w:noWrap/>
            <w:vAlign w:val="center"/>
            <w:hideMark/>
          </w:tcPr>
          <w:p w14:paraId="59DFBD92"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252</w:t>
            </w:r>
          </w:p>
        </w:tc>
        <w:tc>
          <w:tcPr>
            <w:tcW w:w="958" w:type="dxa"/>
            <w:tcBorders>
              <w:top w:val="nil"/>
              <w:left w:val="nil"/>
              <w:bottom w:val="single" w:sz="4" w:space="0" w:color="auto"/>
              <w:right w:val="single" w:sz="4" w:space="0" w:color="auto"/>
            </w:tcBorders>
            <w:shd w:val="clear" w:color="auto" w:fill="auto"/>
            <w:noWrap/>
            <w:vAlign w:val="center"/>
            <w:hideMark/>
          </w:tcPr>
          <w:p w14:paraId="7778806C"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252</w:t>
            </w:r>
          </w:p>
        </w:tc>
        <w:tc>
          <w:tcPr>
            <w:tcW w:w="945" w:type="dxa"/>
            <w:tcBorders>
              <w:top w:val="nil"/>
              <w:left w:val="nil"/>
              <w:bottom w:val="single" w:sz="4" w:space="0" w:color="auto"/>
              <w:right w:val="single" w:sz="8" w:space="0" w:color="auto"/>
            </w:tcBorders>
            <w:shd w:val="clear" w:color="auto" w:fill="auto"/>
            <w:noWrap/>
            <w:vAlign w:val="center"/>
            <w:hideMark/>
          </w:tcPr>
          <w:p w14:paraId="64E3AF23"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252</w:t>
            </w:r>
          </w:p>
        </w:tc>
      </w:tr>
      <w:tr w:rsidR="00186CE3" w:rsidRPr="001A1CE1" w14:paraId="2E53E9B8" w14:textId="77777777" w:rsidTr="00E8795E">
        <w:trPr>
          <w:trHeight w:val="204"/>
          <w:jc w:val="center"/>
        </w:trPr>
        <w:tc>
          <w:tcPr>
            <w:tcW w:w="1200" w:type="dxa"/>
            <w:tcBorders>
              <w:top w:val="nil"/>
              <w:left w:val="single" w:sz="8" w:space="0" w:color="auto"/>
              <w:bottom w:val="single" w:sz="4" w:space="0" w:color="auto"/>
              <w:right w:val="single" w:sz="8" w:space="0" w:color="auto"/>
            </w:tcBorders>
            <w:shd w:val="clear" w:color="000000" w:fill="D9D9D9"/>
            <w:noWrap/>
            <w:vAlign w:val="center"/>
            <w:hideMark/>
          </w:tcPr>
          <w:p w14:paraId="00983420"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R-squared</w:t>
            </w:r>
          </w:p>
        </w:tc>
        <w:tc>
          <w:tcPr>
            <w:tcW w:w="958" w:type="dxa"/>
            <w:tcBorders>
              <w:top w:val="nil"/>
              <w:left w:val="nil"/>
              <w:bottom w:val="single" w:sz="4" w:space="0" w:color="auto"/>
              <w:right w:val="single" w:sz="4" w:space="0" w:color="auto"/>
            </w:tcBorders>
            <w:shd w:val="clear" w:color="auto" w:fill="auto"/>
            <w:noWrap/>
            <w:vAlign w:val="center"/>
            <w:hideMark/>
          </w:tcPr>
          <w:p w14:paraId="6A1451DD"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0.873</w:t>
            </w:r>
          </w:p>
        </w:tc>
        <w:tc>
          <w:tcPr>
            <w:tcW w:w="1040" w:type="dxa"/>
            <w:tcBorders>
              <w:top w:val="nil"/>
              <w:left w:val="nil"/>
              <w:bottom w:val="single" w:sz="4" w:space="0" w:color="auto"/>
              <w:right w:val="single" w:sz="4" w:space="0" w:color="auto"/>
            </w:tcBorders>
            <w:shd w:val="clear" w:color="auto" w:fill="auto"/>
            <w:noWrap/>
            <w:vAlign w:val="center"/>
            <w:hideMark/>
          </w:tcPr>
          <w:p w14:paraId="28958BDD"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0.920</w:t>
            </w:r>
          </w:p>
        </w:tc>
        <w:tc>
          <w:tcPr>
            <w:tcW w:w="1040" w:type="dxa"/>
            <w:tcBorders>
              <w:top w:val="nil"/>
              <w:left w:val="nil"/>
              <w:bottom w:val="single" w:sz="4" w:space="0" w:color="auto"/>
              <w:right w:val="single" w:sz="4" w:space="0" w:color="auto"/>
            </w:tcBorders>
            <w:shd w:val="clear" w:color="auto" w:fill="auto"/>
            <w:noWrap/>
            <w:vAlign w:val="center"/>
            <w:hideMark/>
          </w:tcPr>
          <w:p w14:paraId="0C2376E7"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0.969</w:t>
            </w:r>
          </w:p>
        </w:tc>
        <w:tc>
          <w:tcPr>
            <w:tcW w:w="875" w:type="dxa"/>
            <w:tcBorders>
              <w:top w:val="nil"/>
              <w:left w:val="nil"/>
              <w:bottom w:val="single" w:sz="4" w:space="0" w:color="auto"/>
              <w:right w:val="single" w:sz="4" w:space="0" w:color="auto"/>
            </w:tcBorders>
            <w:shd w:val="clear" w:color="auto" w:fill="auto"/>
            <w:noWrap/>
            <w:vAlign w:val="center"/>
            <w:hideMark/>
          </w:tcPr>
          <w:p w14:paraId="479538AF"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0.827</w:t>
            </w:r>
          </w:p>
        </w:tc>
        <w:tc>
          <w:tcPr>
            <w:tcW w:w="958" w:type="dxa"/>
            <w:tcBorders>
              <w:top w:val="nil"/>
              <w:left w:val="nil"/>
              <w:bottom w:val="single" w:sz="4" w:space="0" w:color="auto"/>
              <w:right w:val="single" w:sz="4" w:space="0" w:color="auto"/>
            </w:tcBorders>
            <w:shd w:val="clear" w:color="auto" w:fill="auto"/>
            <w:noWrap/>
            <w:vAlign w:val="center"/>
            <w:hideMark/>
          </w:tcPr>
          <w:p w14:paraId="42AC7754"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0.794</w:t>
            </w:r>
          </w:p>
        </w:tc>
        <w:tc>
          <w:tcPr>
            <w:tcW w:w="945" w:type="dxa"/>
            <w:tcBorders>
              <w:top w:val="nil"/>
              <w:left w:val="nil"/>
              <w:bottom w:val="single" w:sz="4" w:space="0" w:color="auto"/>
              <w:right w:val="single" w:sz="8" w:space="0" w:color="auto"/>
            </w:tcBorders>
            <w:shd w:val="clear" w:color="auto" w:fill="auto"/>
            <w:noWrap/>
            <w:vAlign w:val="center"/>
            <w:hideMark/>
          </w:tcPr>
          <w:p w14:paraId="6D6A9E9D"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0.910</w:t>
            </w:r>
          </w:p>
        </w:tc>
      </w:tr>
      <w:tr w:rsidR="00186CE3" w:rsidRPr="001A1CE1" w14:paraId="336BA92E" w14:textId="77777777" w:rsidTr="00E8795E">
        <w:trPr>
          <w:trHeight w:val="217"/>
          <w:jc w:val="center"/>
        </w:trPr>
        <w:tc>
          <w:tcPr>
            <w:tcW w:w="1200" w:type="dxa"/>
            <w:tcBorders>
              <w:top w:val="nil"/>
              <w:left w:val="single" w:sz="8" w:space="0" w:color="auto"/>
              <w:bottom w:val="single" w:sz="8" w:space="0" w:color="auto"/>
              <w:right w:val="single" w:sz="8" w:space="0" w:color="auto"/>
            </w:tcBorders>
            <w:shd w:val="clear" w:color="000000" w:fill="D9D9D9"/>
            <w:noWrap/>
            <w:vAlign w:val="center"/>
            <w:hideMark/>
          </w:tcPr>
          <w:p w14:paraId="6439F4E9"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Hausman test</w:t>
            </w:r>
          </w:p>
        </w:tc>
        <w:tc>
          <w:tcPr>
            <w:tcW w:w="958" w:type="dxa"/>
            <w:tcBorders>
              <w:top w:val="nil"/>
              <w:left w:val="nil"/>
              <w:bottom w:val="single" w:sz="8" w:space="0" w:color="auto"/>
              <w:right w:val="single" w:sz="4" w:space="0" w:color="auto"/>
            </w:tcBorders>
            <w:shd w:val="clear" w:color="auto" w:fill="auto"/>
            <w:noWrap/>
            <w:vAlign w:val="center"/>
            <w:hideMark/>
          </w:tcPr>
          <w:p w14:paraId="1E7569E9"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56.79***</w:t>
            </w:r>
          </w:p>
        </w:tc>
        <w:tc>
          <w:tcPr>
            <w:tcW w:w="1040" w:type="dxa"/>
            <w:tcBorders>
              <w:top w:val="nil"/>
              <w:left w:val="nil"/>
              <w:bottom w:val="single" w:sz="8" w:space="0" w:color="auto"/>
              <w:right w:val="single" w:sz="4" w:space="0" w:color="auto"/>
            </w:tcBorders>
            <w:shd w:val="clear" w:color="auto" w:fill="auto"/>
            <w:noWrap/>
            <w:vAlign w:val="center"/>
            <w:hideMark/>
          </w:tcPr>
          <w:p w14:paraId="196CCC44"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19.16**</w:t>
            </w:r>
          </w:p>
        </w:tc>
        <w:tc>
          <w:tcPr>
            <w:tcW w:w="1040" w:type="dxa"/>
            <w:tcBorders>
              <w:top w:val="nil"/>
              <w:left w:val="nil"/>
              <w:bottom w:val="single" w:sz="8" w:space="0" w:color="auto"/>
              <w:right w:val="single" w:sz="4" w:space="0" w:color="auto"/>
            </w:tcBorders>
            <w:shd w:val="clear" w:color="auto" w:fill="auto"/>
            <w:noWrap/>
            <w:vAlign w:val="center"/>
            <w:hideMark/>
          </w:tcPr>
          <w:p w14:paraId="7DE4FE27"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67.21***</w:t>
            </w:r>
          </w:p>
        </w:tc>
        <w:tc>
          <w:tcPr>
            <w:tcW w:w="875" w:type="dxa"/>
            <w:tcBorders>
              <w:top w:val="nil"/>
              <w:left w:val="nil"/>
              <w:bottom w:val="single" w:sz="8" w:space="0" w:color="auto"/>
              <w:right w:val="single" w:sz="4" w:space="0" w:color="auto"/>
            </w:tcBorders>
            <w:shd w:val="clear" w:color="auto" w:fill="auto"/>
            <w:noWrap/>
            <w:vAlign w:val="center"/>
            <w:hideMark/>
          </w:tcPr>
          <w:p w14:paraId="54F719E0"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27.06***</w:t>
            </w:r>
          </w:p>
        </w:tc>
        <w:tc>
          <w:tcPr>
            <w:tcW w:w="958" w:type="dxa"/>
            <w:tcBorders>
              <w:top w:val="nil"/>
              <w:left w:val="nil"/>
              <w:bottom w:val="single" w:sz="8" w:space="0" w:color="auto"/>
              <w:right w:val="single" w:sz="4" w:space="0" w:color="auto"/>
            </w:tcBorders>
            <w:shd w:val="clear" w:color="auto" w:fill="auto"/>
            <w:noWrap/>
            <w:vAlign w:val="center"/>
            <w:hideMark/>
          </w:tcPr>
          <w:p w14:paraId="26A87C05"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18.66**</w:t>
            </w:r>
          </w:p>
        </w:tc>
        <w:tc>
          <w:tcPr>
            <w:tcW w:w="945" w:type="dxa"/>
            <w:tcBorders>
              <w:top w:val="nil"/>
              <w:left w:val="nil"/>
              <w:bottom w:val="single" w:sz="8" w:space="0" w:color="auto"/>
              <w:right w:val="single" w:sz="8" w:space="0" w:color="auto"/>
            </w:tcBorders>
            <w:shd w:val="clear" w:color="auto" w:fill="auto"/>
            <w:noWrap/>
            <w:vAlign w:val="center"/>
            <w:hideMark/>
          </w:tcPr>
          <w:p w14:paraId="28AA96E5" w14:textId="77777777" w:rsidR="00186CE3" w:rsidRPr="001A1CE1" w:rsidRDefault="00186CE3" w:rsidP="00E8795E">
            <w:pPr>
              <w:jc w:val="center"/>
              <w:rPr>
                <w:rFonts w:ascii="TimesNewRomanPSMT" w:hAnsi="TimesNewRomanPSMT" w:cs="TimesNewRomanPSMT"/>
                <w:color w:val="000000"/>
                <w:sz w:val="20"/>
                <w:szCs w:val="20"/>
                <w:lang w:val="en-GB"/>
              </w:rPr>
            </w:pPr>
            <w:r w:rsidRPr="001A1CE1">
              <w:rPr>
                <w:rFonts w:ascii="TimesNewRomanPSMT" w:hAnsi="TimesNewRomanPSMT" w:cs="TimesNewRomanPSMT"/>
                <w:color w:val="000000"/>
                <w:sz w:val="20"/>
                <w:szCs w:val="20"/>
                <w:lang w:val="en-GB"/>
              </w:rPr>
              <w:t>134.86***</w:t>
            </w:r>
          </w:p>
        </w:tc>
      </w:tr>
    </w:tbl>
    <w:p w14:paraId="44462952" w14:textId="77777777" w:rsidR="00186CE3" w:rsidRPr="00B27FE6" w:rsidRDefault="00186CE3" w:rsidP="00186CE3"/>
    <w:p w14:paraId="52ABFFF0" w14:textId="77777777" w:rsidR="00186CE3" w:rsidRDefault="00186CE3" w:rsidP="00186CE3">
      <w:pPr>
        <w:rPr>
          <w:sz w:val="20"/>
        </w:rPr>
      </w:pPr>
      <w:r>
        <w:rPr>
          <w:sz w:val="20"/>
        </w:rPr>
        <w:t xml:space="preserve">Note: </w:t>
      </w:r>
      <w:r w:rsidRPr="00B27FE6">
        <w:rPr>
          <w:sz w:val="20"/>
        </w:rPr>
        <w:t>*** p&lt;0.01, ** p&lt;0.05, * p&lt;0.1</w:t>
      </w:r>
      <w:r>
        <w:rPr>
          <w:sz w:val="20"/>
        </w:rPr>
        <w:t>.</w:t>
      </w:r>
    </w:p>
    <w:p w14:paraId="2B86692A" w14:textId="77777777" w:rsidR="00186CE3" w:rsidRPr="001106FC" w:rsidRDefault="00186CE3" w:rsidP="00186CE3">
      <w:pPr>
        <w:rPr>
          <w:sz w:val="20"/>
        </w:rPr>
      </w:pPr>
      <w:r>
        <w:rPr>
          <w:sz w:val="20"/>
        </w:rPr>
        <w:t>Source: Authors’ calculation.</w:t>
      </w:r>
    </w:p>
    <w:p w14:paraId="5E7D34F7" w14:textId="774B38B9" w:rsidR="00186CE3" w:rsidRDefault="00186CE3" w:rsidP="00186CE3"/>
    <w:p w14:paraId="1BCC1801" w14:textId="7FC1AF82" w:rsidR="007107DE" w:rsidRDefault="007107DE" w:rsidP="00186CE3"/>
    <w:p w14:paraId="44770390" w14:textId="24D09689" w:rsidR="007107DE" w:rsidRDefault="007107DE" w:rsidP="00186CE3"/>
    <w:p w14:paraId="712BDCD5" w14:textId="3AC3DA21" w:rsidR="007107DE" w:rsidRDefault="007107DE" w:rsidP="00186CE3"/>
    <w:p w14:paraId="0693FC7C" w14:textId="7649C203" w:rsidR="007107DE" w:rsidRDefault="007107DE" w:rsidP="00186CE3"/>
    <w:p w14:paraId="06A4EA4D" w14:textId="7FBD2D2A" w:rsidR="007107DE" w:rsidRDefault="007107DE" w:rsidP="00186CE3"/>
    <w:p w14:paraId="177A9002" w14:textId="53F357FE" w:rsidR="007107DE" w:rsidRDefault="007107DE" w:rsidP="00186CE3"/>
    <w:p w14:paraId="39839F1D" w14:textId="097BEE56" w:rsidR="007107DE" w:rsidRDefault="007107DE" w:rsidP="00186CE3"/>
    <w:p w14:paraId="727301B3" w14:textId="41153387" w:rsidR="007107DE" w:rsidRDefault="007107DE" w:rsidP="00186CE3"/>
    <w:p w14:paraId="6566937D" w14:textId="77777777" w:rsidR="007107DE" w:rsidRDefault="007107DE" w:rsidP="00186CE3"/>
    <w:p w14:paraId="0465D73A" w14:textId="04ABA6B7" w:rsidR="00186CE3" w:rsidRPr="00D51097" w:rsidRDefault="00186CE3" w:rsidP="00186CE3">
      <w:pPr>
        <w:jc w:val="both"/>
        <w:rPr>
          <w:i/>
          <w:sz w:val="20"/>
        </w:rPr>
      </w:pPr>
      <w:r w:rsidRPr="00D51097">
        <w:rPr>
          <w:i/>
          <w:sz w:val="20"/>
        </w:rPr>
        <w:lastRenderedPageBreak/>
        <w:t>Table 3. The influence of the technological composition on the Eurozone's cross-country inequality (2003-2016)</w:t>
      </w:r>
    </w:p>
    <w:p w14:paraId="51FE8A56" w14:textId="77777777" w:rsidR="00186CE3" w:rsidRDefault="00186CE3" w:rsidP="00186CE3">
      <w:pPr>
        <w:jc w:val="both"/>
      </w:pPr>
    </w:p>
    <w:tbl>
      <w:tblPr>
        <w:tblW w:w="8648" w:type="dxa"/>
        <w:jc w:val="center"/>
        <w:tblLook w:val="04A0" w:firstRow="1" w:lastRow="0" w:firstColumn="1" w:lastColumn="0" w:noHBand="0" w:noVBand="1"/>
      </w:tblPr>
      <w:tblGrid>
        <w:gridCol w:w="1547"/>
        <w:gridCol w:w="1129"/>
        <w:gridCol w:w="1235"/>
        <w:gridCol w:w="1235"/>
        <w:gridCol w:w="1129"/>
        <w:gridCol w:w="1097"/>
        <w:gridCol w:w="1276"/>
      </w:tblGrid>
      <w:tr w:rsidR="00186CE3" w:rsidRPr="00B27FE6" w14:paraId="3AA45E5C" w14:textId="77777777" w:rsidTr="00E8795E">
        <w:trPr>
          <w:trHeight w:val="562"/>
          <w:jc w:val="center"/>
        </w:trPr>
        <w:tc>
          <w:tcPr>
            <w:tcW w:w="1547"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2D0DDCE9" w14:textId="77777777" w:rsidR="00186CE3" w:rsidRPr="00B27FE6" w:rsidRDefault="00186CE3" w:rsidP="00E8795E">
            <w:pPr>
              <w:jc w:val="center"/>
              <w:rPr>
                <w:color w:val="000000"/>
                <w:sz w:val="20"/>
                <w:szCs w:val="20"/>
                <w:lang w:val="en-GB"/>
              </w:rPr>
            </w:pPr>
            <w:r w:rsidRPr="00B27FE6">
              <w:rPr>
                <w:color w:val="000000"/>
                <w:sz w:val="20"/>
                <w:szCs w:val="20"/>
                <w:lang w:val="en-GB"/>
              </w:rPr>
              <w:t>Dependent</w:t>
            </w:r>
            <w:r w:rsidRPr="00B27FE6">
              <w:rPr>
                <w:color w:val="000000"/>
                <w:sz w:val="20"/>
                <w:szCs w:val="20"/>
                <w:lang w:val="en-GB"/>
              </w:rPr>
              <w:br/>
              <w:t>variable</w:t>
            </w:r>
          </w:p>
        </w:tc>
        <w:tc>
          <w:tcPr>
            <w:tcW w:w="1129" w:type="dxa"/>
            <w:tcBorders>
              <w:top w:val="single" w:sz="8" w:space="0" w:color="auto"/>
              <w:left w:val="nil"/>
              <w:bottom w:val="single" w:sz="8" w:space="0" w:color="auto"/>
              <w:right w:val="single" w:sz="4" w:space="0" w:color="auto"/>
            </w:tcBorders>
            <w:shd w:val="clear" w:color="000000" w:fill="D9D9D9"/>
            <w:vAlign w:val="center"/>
            <w:hideMark/>
          </w:tcPr>
          <w:p w14:paraId="07E09E0E" w14:textId="77777777" w:rsidR="00186CE3" w:rsidRPr="00B27FE6" w:rsidRDefault="00186CE3" w:rsidP="00E8795E">
            <w:pPr>
              <w:jc w:val="center"/>
              <w:rPr>
                <w:color w:val="000000"/>
                <w:sz w:val="20"/>
                <w:szCs w:val="20"/>
                <w:lang w:val="en-GB"/>
              </w:rPr>
            </w:pPr>
            <w:r w:rsidRPr="00B27FE6">
              <w:rPr>
                <w:b/>
                <w:bCs/>
                <w:color w:val="000000"/>
                <w:sz w:val="20"/>
                <w:szCs w:val="20"/>
                <w:lang w:val="en-GB"/>
              </w:rPr>
              <w:t>Model 1b</w:t>
            </w:r>
            <w:r w:rsidRPr="00B27FE6">
              <w:rPr>
                <w:color w:val="000000"/>
                <w:sz w:val="20"/>
                <w:szCs w:val="20"/>
                <w:lang w:val="en-GB"/>
              </w:rPr>
              <w:br/>
              <w:t>Price effect</w:t>
            </w:r>
          </w:p>
        </w:tc>
        <w:tc>
          <w:tcPr>
            <w:tcW w:w="1235" w:type="dxa"/>
            <w:tcBorders>
              <w:top w:val="single" w:sz="8" w:space="0" w:color="auto"/>
              <w:left w:val="nil"/>
              <w:bottom w:val="single" w:sz="8" w:space="0" w:color="auto"/>
              <w:right w:val="single" w:sz="4" w:space="0" w:color="auto"/>
            </w:tcBorders>
            <w:shd w:val="clear" w:color="000000" w:fill="D9D9D9"/>
            <w:vAlign w:val="center"/>
            <w:hideMark/>
          </w:tcPr>
          <w:p w14:paraId="4F1C3688" w14:textId="77777777" w:rsidR="00186CE3" w:rsidRPr="00B27FE6" w:rsidRDefault="00186CE3" w:rsidP="00E8795E">
            <w:pPr>
              <w:jc w:val="center"/>
              <w:rPr>
                <w:color w:val="000000"/>
                <w:sz w:val="20"/>
                <w:szCs w:val="20"/>
                <w:lang w:val="en-GB"/>
              </w:rPr>
            </w:pPr>
            <w:r w:rsidRPr="00B27FE6">
              <w:rPr>
                <w:b/>
                <w:bCs/>
                <w:color w:val="000000"/>
                <w:sz w:val="20"/>
                <w:szCs w:val="20"/>
                <w:lang w:val="en-GB"/>
              </w:rPr>
              <w:t>Model 2b</w:t>
            </w:r>
            <w:r w:rsidRPr="00B27FE6">
              <w:rPr>
                <w:color w:val="000000"/>
                <w:sz w:val="20"/>
                <w:szCs w:val="20"/>
                <w:lang w:val="en-GB"/>
              </w:rPr>
              <w:br/>
              <w:t>Efficiency effect</w:t>
            </w:r>
          </w:p>
        </w:tc>
        <w:tc>
          <w:tcPr>
            <w:tcW w:w="1235" w:type="dxa"/>
            <w:tcBorders>
              <w:top w:val="single" w:sz="8" w:space="0" w:color="auto"/>
              <w:left w:val="nil"/>
              <w:bottom w:val="single" w:sz="8" w:space="0" w:color="auto"/>
              <w:right w:val="single" w:sz="4" w:space="0" w:color="auto"/>
            </w:tcBorders>
            <w:shd w:val="clear" w:color="000000" w:fill="D9D9D9"/>
            <w:vAlign w:val="center"/>
            <w:hideMark/>
          </w:tcPr>
          <w:p w14:paraId="0864E922" w14:textId="77777777" w:rsidR="00186CE3" w:rsidRPr="00B27FE6" w:rsidRDefault="00186CE3" w:rsidP="00E8795E">
            <w:pPr>
              <w:jc w:val="center"/>
              <w:rPr>
                <w:color w:val="000000"/>
                <w:sz w:val="20"/>
                <w:szCs w:val="20"/>
                <w:lang w:val="en-GB"/>
              </w:rPr>
            </w:pPr>
            <w:r w:rsidRPr="00B27FE6">
              <w:rPr>
                <w:b/>
                <w:bCs/>
                <w:color w:val="000000"/>
                <w:sz w:val="20"/>
                <w:szCs w:val="20"/>
                <w:lang w:val="en-GB"/>
              </w:rPr>
              <w:t>Model 3b</w:t>
            </w:r>
            <w:r w:rsidRPr="00B27FE6">
              <w:rPr>
                <w:color w:val="000000"/>
                <w:sz w:val="20"/>
                <w:szCs w:val="20"/>
                <w:lang w:val="en-GB"/>
              </w:rPr>
              <w:br/>
              <w:t>Labour recognition</w:t>
            </w:r>
          </w:p>
        </w:tc>
        <w:tc>
          <w:tcPr>
            <w:tcW w:w="1129" w:type="dxa"/>
            <w:tcBorders>
              <w:top w:val="single" w:sz="8" w:space="0" w:color="auto"/>
              <w:left w:val="nil"/>
              <w:bottom w:val="single" w:sz="8" w:space="0" w:color="auto"/>
              <w:right w:val="single" w:sz="4" w:space="0" w:color="auto"/>
            </w:tcBorders>
            <w:shd w:val="clear" w:color="000000" w:fill="D9D9D9"/>
            <w:vAlign w:val="center"/>
            <w:hideMark/>
          </w:tcPr>
          <w:p w14:paraId="22507C25" w14:textId="77777777" w:rsidR="00186CE3" w:rsidRPr="00B27FE6" w:rsidRDefault="00186CE3" w:rsidP="00E8795E">
            <w:pPr>
              <w:jc w:val="center"/>
              <w:rPr>
                <w:color w:val="000000"/>
                <w:sz w:val="20"/>
                <w:szCs w:val="20"/>
                <w:lang w:val="en-GB"/>
              </w:rPr>
            </w:pPr>
            <w:r w:rsidRPr="00B27FE6">
              <w:rPr>
                <w:b/>
                <w:bCs/>
                <w:color w:val="000000"/>
                <w:sz w:val="20"/>
                <w:szCs w:val="20"/>
                <w:lang w:val="en-GB"/>
              </w:rPr>
              <w:t>Model 4b</w:t>
            </w:r>
            <w:r w:rsidRPr="00B27FE6">
              <w:rPr>
                <w:color w:val="000000"/>
                <w:sz w:val="20"/>
                <w:szCs w:val="20"/>
                <w:lang w:val="en-GB"/>
              </w:rPr>
              <w:br/>
              <w:t>Profit rate</w:t>
            </w:r>
          </w:p>
        </w:tc>
        <w:tc>
          <w:tcPr>
            <w:tcW w:w="1097" w:type="dxa"/>
            <w:tcBorders>
              <w:top w:val="single" w:sz="8" w:space="0" w:color="auto"/>
              <w:left w:val="nil"/>
              <w:bottom w:val="single" w:sz="8" w:space="0" w:color="auto"/>
              <w:right w:val="single" w:sz="4" w:space="0" w:color="auto"/>
            </w:tcBorders>
            <w:shd w:val="clear" w:color="000000" w:fill="D9D9D9"/>
            <w:vAlign w:val="center"/>
            <w:hideMark/>
          </w:tcPr>
          <w:p w14:paraId="04B7532A" w14:textId="77777777" w:rsidR="00186CE3" w:rsidRPr="00B27FE6" w:rsidRDefault="00186CE3" w:rsidP="00E8795E">
            <w:pPr>
              <w:jc w:val="center"/>
              <w:rPr>
                <w:color w:val="000000"/>
                <w:sz w:val="20"/>
                <w:szCs w:val="20"/>
                <w:lang w:val="en-GB"/>
              </w:rPr>
            </w:pPr>
            <w:r w:rsidRPr="00B27FE6">
              <w:rPr>
                <w:b/>
                <w:bCs/>
                <w:color w:val="000000"/>
                <w:sz w:val="20"/>
                <w:szCs w:val="20"/>
                <w:lang w:val="en-GB"/>
              </w:rPr>
              <w:t>Model 5b</w:t>
            </w:r>
            <w:r w:rsidRPr="00B27FE6">
              <w:rPr>
                <w:color w:val="000000"/>
                <w:sz w:val="20"/>
                <w:szCs w:val="20"/>
                <w:lang w:val="en-GB"/>
              </w:rPr>
              <w:br/>
              <w:t>Wage rate</w:t>
            </w:r>
          </w:p>
        </w:tc>
        <w:tc>
          <w:tcPr>
            <w:tcW w:w="1276" w:type="dxa"/>
            <w:tcBorders>
              <w:top w:val="single" w:sz="8" w:space="0" w:color="auto"/>
              <w:left w:val="nil"/>
              <w:bottom w:val="single" w:sz="8" w:space="0" w:color="auto"/>
              <w:right w:val="single" w:sz="8" w:space="0" w:color="auto"/>
            </w:tcBorders>
            <w:shd w:val="clear" w:color="000000" w:fill="D9D9D9"/>
            <w:vAlign w:val="center"/>
            <w:hideMark/>
          </w:tcPr>
          <w:p w14:paraId="07FE1CD2" w14:textId="77777777" w:rsidR="00186CE3" w:rsidRPr="00B27FE6" w:rsidRDefault="00186CE3" w:rsidP="00E8795E">
            <w:pPr>
              <w:jc w:val="center"/>
              <w:rPr>
                <w:color w:val="000000"/>
                <w:sz w:val="20"/>
                <w:szCs w:val="20"/>
                <w:lang w:val="en-GB"/>
              </w:rPr>
            </w:pPr>
            <w:r w:rsidRPr="00B27FE6">
              <w:rPr>
                <w:b/>
                <w:bCs/>
                <w:color w:val="000000"/>
                <w:sz w:val="20"/>
                <w:szCs w:val="20"/>
                <w:lang w:val="en-GB"/>
              </w:rPr>
              <w:t>Model 6b</w:t>
            </w:r>
            <w:r w:rsidRPr="00B27FE6">
              <w:rPr>
                <w:color w:val="000000"/>
                <w:sz w:val="20"/>
                <w:szCs w:val="20"/>
                <w:lang w:val="en-GB"/>
              </w:rPr>
              <w:br/>
              <w:t>Exploitation</w:t>
            </w:r>
          </w:p>
        </w:tc>
      </w:tr>
      <w:tr w:rsidR="00186CE3" w:rsidRPr="00B27FE6" w14:paraId="188654E7" w14:textId="77777777" w:rsidTr="00E8795E">
        <w:trPr>
          <w:trHeight w:val="183"/>
          <w:jc w:val="center"/>
        </w:trPr>
        <w:tc>
          <w:tcPr>
            <w:tcW w:w="1547" w:type="dxa"/>
            <w:tcBorders>
              <w:top w:val="nil"/>
              <w:left w:val="single" w:sz="8" w:space="0" w:color="auto"/>
              <w:bottom w:val="single" w:sz="4" w:space="0" w:color="auto"/>
              <w:right w:val="single" w:sz="8" w:space="0" w:color="auto"/>
            </w:tcBorders>
            <w:shd w:val="clear" w:color="000000" w:fill="D9D9D9"/>
            <w:noWrap/>
            <w:vAlign w:val="center"/>
            <w:hideMark/>
          </w:tcPr>
          <w:p w14:paraId="4EC4C07E" w14:textId="77777777" w:rsidR="00186CE3" w:rsidRPr="00B27FE6" w:rsidRDefault="00186CE3" w:rsidP="00E8795E">
            <w:pPr>
              <w:jc w:val="center"/>
              <w:rPr>
                <w:color w:val="000000"/>
                <w:sz w:val="20"/>
                <w:szCs w:val="20"/>
                <w:lang w:val="en-GB"/>
              </w:rPr>
            </w:pPr>
            <w:r>
              <w:rPr>
                <w:color w:val="000000"/>
                <w:sz w:val="20"/>
                <w:szCs w:val="20"/>
                <w:lang w:val="en-GB"/>
              </w:rPr>
              <w:t xml:space="preserve">log </w:t>
            </w:r>
            <w:r w:rsidRPr="00B27FE6">
              <w:rPr>
                <w:color w:val="000000"/>
                <w:sz w:val="20"/>
                <w:szCs w:val="20"/>
                <w:lang w:val="en-GB"/>
              </w:rPr>
              <w:t>GDP</w:t>
            </w:r>
          </w:p>
        </w:tc>
        <w:tc>
          <w:tcPr>
            <w:tcW w:w="1129" w:type="dxa"/>
            <w:tcBorders>
              <w:top w:val="nil"/>
              <w:left w:val="nil"/>
              <w:bottom w:val="single" w:sz="4" w:space="0" w:color="auto"/>
              <w:right w:val="single" w:sz="4" w:space="0" w:color="auto"/>
            </w:tcBorders>
            <w:shd w:val="clear" w:color="auto" w:fill="auto"/>
            <w:vAlign w:val="center"/>
            <w:hideMark/>
          </w:tcPr>
          <w:p w14:paraId="6D199024" w14:textId="77777777" w:rsidR="00186CE3" w:rsidRPr="00B27FE6" w:rsidRDefault="00186CE3" w:rsidP="00E8795E">
            <w:pPr>
              <w:jc w:val="center"/>
              <w:rPr>
                <w:color w:val="000000"/>
                <w:sz w:val="20"/>
                <w:szCs w:val="20"/>
                <w:lang w:val="en-GB"/>
              </w:rPr>
            </w:pPr>
            <w:r w:rsidRPr="00B27FE6">
              <w:rPr>
                <w:color w:val="000000"/>
                <w:sz w:val="20"/>
                <w:szCs w:val="20"/>
                <w:lang w:val="en-GB"/>
              </w:rPr>
              <w:t>0.575***</w:t>
            </w:r>
          </w:p>
        </w:tc>
        <w:tc>
          <w:tcPr>
            <w:tcW w:w="1235" w:type="dxa"/>
            <w:tcBorders>
              <w:top w:val="nil"/>
              <w:left w:val="nil"/>
              <w:bottom w:val="single" w:sz="4" w:space="0" w:color="auto"/>
              <w:right w:val="single" w:sz="4" w:space="0" w:color="auto"/>
            </w:tcBorders>
            <w:shd w:val="clear" w:color="auto" w:fill="auto"/>
            <w:vAlign w:val="center"/>
            <w:hideMark/>
          </w:tcPr>
          <w:p w14:paraId="08BBA447" w14:textId="77777777" w:rsidR="00186CE3" w:rsidRPr="00B27FE6" w:rsidRDefault="00186CE3" w:rsidP="00E8795E">
            <w:pPr>
              <w:jc w:val="center"/>
              <w:rPr>
                <w:color w:val="000000"/>
                <w:sz w:val="20"/>
                <w:szCs w:val="20"/>
                <w:lang w:val="en-GB"/>
              </w:rPr>
            </w:pPr>
            <w:r w:rsidRPr="00B27FE6">
              <w:rPr>
                <w:color w:val="000000"/>
                <w:sz w:val="20"/>
                <w:szCs w:val="20"/>
                <w:lang w:val="en-GB"/>
              </w:rPr>
              <w:t>-0.0217</w:t>
            </w:r>
          </w:p>
        </w:tc>
        <w:tc>
          <w:tcPr>
            <w:tcW w:w="1235" w:type="dxa"/>
            <w:tcBorders>
              <w:top w:val="nil"/>
              <w:left w:val="nil"/>
              <w:bottom w:val="single" w:sz="4" w:space="0" w:color="auto"/>
              <w:right w:val="single" w:sz="4" w:space="0" w:color="auto"/>
            </w:tcBorders>
            <w:shd w:val="clear" w:color="auto" w:fill="auto"/>
            <w:vAlign w:val="center"/>
            <w:hideMark/>
          </w:tcPr>
          <w:p w14:paraId="2199DA30" w14:textId="77777777" w:rsidR="00186CE3" w:rsidRPr="00B27FE6" w:rsidRDefault="00186CE3" w:rsidP="00E8795E">
            <w:pPr>
              <w:jc w:val="center"/>
              <w:rPr>
                <w:color w:val="000000"/>
                <w:sz w:val="20"/>
                <w:szCs w:val="20"/>
                <w:lang w:val="en-GB"/>
              </w:rPr>
            </w:pPr>
            <w:r w:rsidRPr="00B27FE6">
              <w:rPr>
                <w:color w:val="000000"/>
                <w:sz w:val="20"/>
                <w:szCs w:val="20"/>
                <w:lang w:val="en-GB"/>
              </w:rPr>
              <w:t>-0.0414***</w:t>
            </w:r>
          </w:p>
        </w:tc>
        <w:tc>
          <w:tcPr>
            <w:tcW w:w="1129" w:type="dxa"/>
            <w:tcBorders>
              <w:top w:val="nil"/>
              <w:left w:val="nil"/>
              <w:bottom w:val="single" w:sz="4" w:space="0" w:color="auto"/>
              <w:right w:val="single" w:sz="4" w:space="0" w:color="auto"/>
            </w:tcBorders>
            <w:shd w:val="clear" w:color="auto" w:fill="auto"/>
            <w:vAlign w:val="center"/>
            <w:hideMark/>
          </w:tcPr>
          <w:p w14:paraId="2654253A" w14:textId="77777777" w:rsidR="00186CE3" w:rsidRPr="00B27FE6" w:rsidRDefault="00186CE3" w:rsidP="00E8795E">
            <w:pPr>
              <w:jc w:val="center"/>
              <w:rPr>
                <w:color w:val="000000"/>
                <w:sz w:val="20"/>
                <w:szCs w:val="20"/>
                <w:lang w:val="en-GB"/>
              </w:rPr>
            </w:pPr>
            <w:r w:rsidRPr="00B27FE6">
              <w:rPr>
                <w:color w:val="000000"/>
                <w:sz w:val="20"/>
                <w:szCs w:val="20"/>
                <w:lang w:val="en-GB"/>
              </w:rPr>
              <w:t>0.334</w:t>
            </w:r>
          </w:p>
        </w:tc>
        <w:tc>
          <w:tcPr>
            <w:tcW w:w="1097" w:type="dxa"/>
            <w:tcBorders>
              <w:top w:val="nil"/>
              <w:left w:val="nil"/>
              <w:bottom w:val="single" w:sz="4" w:space="0" w:color="auto"/>
              <w:right w:val="single" w:sz="4" w:space="0" w:color="auto"/>
            </w:tcBorders>
            <w:shd w:val="clear" w:color="auto" w:fill="auto"/>
            <w:vAlign w:val="center"/>
            <w:hideMark/>
          </w:tcPr>
          <w:p w14:paraId="0524E7FB" w14:textId="77777777" w:rsidR="00186CE3" w:rsidRPr="00B27FE6" w:rsidRDefault="00186CE3" w:rsidP="00E8795E">
            <w:pPr>
              <w:jc w:val="center"/>
              <w:rPr>
                <w:color w:val="000000"/>
                <w:sz w:val="20"/>
                <w:szCs w:val="20"/>
                <w:lang w:val="en-GB"/>
              </w:rPr>
            </w:pPr>
            <w:r w:rsidRPr="00B27FE6">
              <w:rPr>
                <w:color w:val="000000"/>
                <w:sz w:val="20"/>
                <w:szCs w:val="20"/>
                <w:lang w:val="en-GB"/>
              </w:rPr>
              <w:t>0.0903</w:t>
            </w:r>
          </w:p>
        </w:tc>
        <w:tc>
          <w:tcPr>
            <w:tcW w:w="1276" w:type="dxa"/>
            <w:tcBorders>
              <w:top w:val="nil"/>
              <w:left w:val="nil"/>
              <w:bottom w:val="single" w:sz="4" w:space="0" w:color="auto"/>
              <w:right w:val="single" w:sz="8" w:space="0" w:color="auto"/>
            </w:tcBorders>
            <w:shd w:val="clear" w:color="auto" w:fill="auto"/>
            <w:vAlign w:val="center"/>
            <w:hideMark/>
          </w:tcPr>
          <w:p w14:paraId="73E44DB7" w14:textId="77777777" w:rsidR="00186CE3" w:rsidRPr="00B27FE6" w:rsidRDefault="00186CE3" w:rsidP="00E8795E">
            <w:pPr>
              <w:jc w:val="center"/>
              <w:rPr>
                <w:color w:val="000000"/>
                <w:sz w:val="20"/>
                <w:szCs w:val="20"/>
                <w:lang w:val="en-GB"/>
              </w:rPr>
            </w:pPr>
            <w:r w:rsidRPr="00B27FE6">
              <w:rPr>
                <w:color w:val="000000"/>
                <w:sz w:val="20"/>
                <w:szCs w:val="20"/>
                <w:lang w:val="en-GB"/>
              </w:rPr>
              <w:t>2.027***</w:t>
            </w:r>
          </w:p>
        </w:tc>
      </w:tr>
      <w:tr w:rsidR="00186CE3" w:rsidRPr="00B27FE6" w14:paraId="55C67F81" w14:textId="77777777" w:rsidTr="00E8795E">
        <w:trPr>
          <w:trHeight w:val="183"/>
          <w:jc w:val="center"/>
        </w:trPr>
        <w:tc>
          <w:tcPr>
            <w:tcW w:w="1547" w:type="dxa"/>
            <w:tcBorders>
              <w:top w:val="nil"/>
              <w:left w:val="single" w:sz="8" w:space="0" w:color="auto"/>
              <w:bottom w:val="single" w:sz="4" w:space="0" w:color="auto"/>
              <w:right w:val="single" w:sz="8" w:space="0" w:color="auto"/>
            </w:tcBorders>
            <w:shd w:val="clear" w:color="000000" w:fill="D9D9D9"/>
            <w:noWrap/>
            <w:vAlign w:val="center"/>
            <w:hideMark/>
          </w:tcPr>
          <w:p w14:paraId="7473D949" w14:textId="77777777" w:rsidR="00186CE3" w:rsidRPr="00B27FE6" w:rsidRDefault="00186CE3" w:rsidP="00E8795E">
            <w:pPr>
              <w:jc w:val="center"/>
              <w:rPr>
                <w:color w:val="000000"/>
                <w:sz w:val="20"/>
                <w:szCs w:val="20"/>
                <w:lang w:val="en-GB"/>
              </w:rPr>
            </w:pPr>
            <w:r>
              <w:rPr>
                <w:color w:val="000000"/>
                <w:sz w:val="20"/>
                <w:szCs w:val="20"/>
                <w:lang w:val="en-GB"/>
              </w:rPr>
              <w:t xml:space="preserve">log </w:t>
            </w:r>
            <w:r w:rsidRPr="00B27FE6">
              <w:rPr>
                <w:color w:val="000000"/>
                <w:sz w:val="20"/>
                <w:szCs w:val="20"/>
                <w:lang w:val="en-GB"/>
              </w:rPr>
              <w:t>GDP p/c</w:t>
            </w:r>
          </w:p>
        </w:tc>
        <w:tc>
          <w:tcPr>
            <w:tcW w:w="1129" w:type="dxa"/>
            <w:tcBorders>
              <w:top w:val="nil"/>
              <w:left w:val="nil"/>
              <w:bottom w:val="single" w:sz="4" w:space="0" w:color="auto"/>
              <w:right w:val="single" w:sz="4" w:space="0" w:color="auto"/>
            </w:tcBorders>
            <w:shd w:val="clear" w:color="auto" w:fill="auto"/>
            <w:vAlign w:val="center"/>
            <w:hideMark/>
          </w:tcPr>
          <w:p w14:paraId="1B63CEA4" w14:textId="77777777" w:rsidR="00186CE3" w:rsidRPr="00B27FE6" w:rsidRDefault="00186CE3" w:rsidP="00E8795E">
            <w:pPr>
              <w:jc w:val="center"/>
              <w:rPr>
                <w:color w:val="000000"/>
                <w:sz w:val="20"/>
                <w:szCs w:val="20"/>
                <w:lang w:val="en-GB"/>
              </w:rPr>
            </w:pPr>
            <w:r w:rsidRPr="00B27FE6">
              <w:rPr>
                <w:color w:val="000000"/>
                <w:sz w:val="20"/>
                <w:szCs w:val="20"/>
                <w:lang w:val="en-GB"/>
              </w:rPr>
              <w:t>0.0355</w:t>
            </w:r>
          </w:p>
        </w:tc>
        <w:tc>
          <w:tcPr>
            <w:tcW w:w="1235" w:type="dxa"/>
            <w:tcBorders>
              <w:top w:val="nil"/>
              <w:left w:val="nil"/>
              <w:bottom w:val="single" w:sz="4" w:space="0" w:color="auto"/>
              <w:right w:val="single" w:sz="4" w:space="0" w:color="auto"/>
            </w:tcBorders>
            <w:shd w:val="clear" w:color="auto" w:fill="auto"/>
            <w:vAlign w:val="center"/>
            <w:hideMark/>
          </w:tcPr>
          <w:p w14:paraId="5EFB2CA3" w14:textId="77777777" w:rsidR="00186CE3" w:rsidRPr="00B27FE6" w:rsidRDefault="00186CE3" w:rsidP="00E8795E">
            <w:pPr>
              <w:jc w:val="center"/>
              <w:rPr>
                <w:color w:val="000000"/>
                <w:sz w:val="20"/>
                <w:szCs w:val="20"/>
                <w:lang w:val="en-GB"/>
              </w:rPr>
            </w:pPr>
            <w:r w:rsidRPr="00B27FE6">
              <w:rPr>
                <w:color w:val="000000"/>
                <w:sz w:val="20"/>
                <w:szCs w:val="20"/>
                <w:lang w:val="en-GB"/>
              </w:rPr>
              <w:t>0.0441***</w:t>
            </w:r>
          </w:p>
        </w:tc>
        <w:tc>
          <w:tcPr>
            <w:tcW w:w="1235" w:type="dxa"/>
            <w:tcBorders>
              <w:top w:val="nil"/>
              <w:left w:val="nil"/>
              <w:bottom w:val="single" w:sz="4" w:space="0" w:color="auto"/>
              <w:right w:val="single" w:sz="4" w:space="0" w:color="auto"/>
            </w:tcBorders>
            <w:shd w:val="clear" w:color="auto" w:fill="auto"/>
            <w:vAlign w:val="center"/>
            <w:hideMark/>
          </w:tcPr>
          <w:p w14:paraId="64EC58DB" w14:textId="77777777" w:rsidR="00186CE3" w:rsidRPr="00B27FE6" w:rsidRDefault="00186CE3" w:rsidP="00E8795E">
            <w:pPr>
              <w:jc w:val="center"/>
              <w:rPr>
                <w:color w:val="000000"/>
                <w:sz w:val="20"/>
                <w:szCs w:val="20"/>
                <w:lang w:val="en-GB"/>
              </w:rPr>
            </w:pPr>
            <w:r w:rsidRPr="00B27FE6">
              <w:rPr>
                <w:color w:val="000000"/>
                <w:sz w:val="20"/>
                <w:szCs w:val="20"/>
                <w:lang w:val="en-GB"/>
              </w:rPr>
              <w:t>0.0817***</w:t>
            </w:r>
          </w:p>
        </w:tc>
        <w:tc>
          <w:tcPr>
            <w:tcW w:w="1129" w:type="dxa"/>
            <w:tcBorders>
              <w:top w:val="nil"/>
              <w:left w:val="nil"/>
              <w:bottom w:val="single" w:sz="4" w:space="0" w:color="auto"/>
              <w:right w:val="single" w:sz="4" w:space="0" w:color="auto"/>
            </w:tcBorders>
            <w:shd w:val="clear" w:color="auto" w:fill="auto"/>
            <w:vAlign w:val="center"/>
            <w:hideMark/>
          </w:tcPr>
          <w:p w14:paraId="5A19BC1F" w14:textId="77777777" w:rsidR="00186CE3" w:rsidRPr="00B27FE6" w:rsidRDefault="00186CE3" w:rsidP="00E8795E">
            <w:pPr>
              <w:jc w:val="center"/>
              <w:rPr>
                <w:color w:val="000000"/>
                <w:sz w:val="20"/>
                <w:szCs w:val="20"/>
                <w:lang w:val="en-GB"/>
              </w:rPr>
            </w:pPr>
            <w:r w:rsidRPr="00B27FE6">
              <w:rPr>
                <w:color w:val="000000"/>
                <w:sz w:val="20"/>
                <w:szCs w:val="20"/>
                <w:lang w:val="en-GB"/>
              </w:rPr>
              <w:t>1.762***</w:t>
            </w:r>
          </w:p>
        </w:tc>
        <w:tc>
          <w:tcPr>
            <w:tcW w:w="1097" w:type="dxa"/>
            <w:tcBorders>
              <w:top w:val="nil"/>
              <w:left w:val="nil"/>
              <w:bottom w:val="single" w:sz="4" w:space="0" w:color="auto"/>
              <w:right w:val="single" w:sz="4" w:space="0" w:color="auto"/>
            </w:tcBorders>
            <w:shd w:val="clear" w:color="auto" w:fill="auto"/>
            <w:vAlign w:val="center"/>
            <w:hideMark/>
          </w:tcPr>
          <w:p w14:paraId="2852E70D" w14:textId="77777777" w:rsidR="00186CE3" w:rsidRPr="00B27FE6" w:rsidRDefault="00186CE3" w:rsidP="00E8795E">
            <w:pPr>
              <w:jc w:val="center"/>
              <w:rPr>
                <w:color w:val="000000"/>
                <w:sz w:val="20"/>
                <w:szCs w:val="20"/>
                <w:lang w:val="en-GB"/>
              </w:rPr>
            </w:pPr>
            <w:r w:rsidRPr="00B27FE6">
              <w:rPr>
                <w:color w:val="000000"/>
                <w:sz w:val="20"/>
                <w:szCs w:val="20"/>
                <w:lang w:val="en-GB"/>
              </w:rPr>
              <w:t>0.0631</w:t>
            </w:r>
          </w:p>
        </w:tc>
        <w:tc>
          <w:tcPr>
            <w:tcW w:w="1276" w:type="dxa"/>
            <w:tcBorders>
              <w:top w:val="nil"/>
              <w:left w:val="nil"/>
              <w:bottom w:val="single" w:sz="4" w:space="0" w:color="auto"/>
              <w:right w:val="single" w:sz="8" w:space="0" w:color="auto"/>
            </w:tcBorders>
            <w:shd w:val="clear" w:color="auto" w:fill="auto"/>
            <w:vAlign w:val="center"/>
            <w:hideMark/>
          </w:tcPr>
          <w:p w14:paraId="0F76A5E2" w14:textId="77777777" w:rsidR="00186CE3" w:rsidRPr="00B27FE6" w:rsidRDefault="00186CE3" w:rsidP="00E8795E">
            <w:pPr>
              <w:jc w:val="center"/>
              <w:rPr>
                <w:color w:val="000000"/>
                <w:sz w:val="20"/>
                <w:szCs w:val="20"/>
                <w:lang w:val="en-GB"/>
              </w:rPr>
            </w:pPr>
            <w:r w:rsidRPr="00B27FE6">
              <w:rPr>
                <w:color w:val="000000"/>
                <w:sz w:val="20"/>
                <w:szCs w:val="20"/>
                <w:lang w:val="en-GB"/>
              </w:rPr>
              <w:t>-1.657***</w:t>
            </w:r>
          </w:p>
        </w:tc>
      </w:tr>
      <w:tr w:rsidR="00186CE3" w:rsidRPr="00B27FE6" w14:paraId="36E95FAF" w14:textId="77777777" w:rsidTr="00E8795E">
        <w:trPr>
          <w:trHeight w:val="421"/>
          <w:jc w:val="center"/>
        </w:trPr>
        <w:tc>
          <w:tcPr>
            <w:tcW w:w="1547" w:type="dxa"/>
            <w:tcBorders>
              <w:top w:val="nil"/>
              <w:left w:val="single" w:sz="8" w:space="0" w:color="auto"/>
              <w:bottom w:val="single" w:sz="4" w:space="0" w:color="auto"/>
              <w:right w:val="single" w:sz="8" w:space="0" w:color="auto"/>
            </w:tcBorders>
            <w:shd w:val="clear" w:color="000000" w:fill="D9D9D9"/>
            <w:vAlign w:val="center"/>
            <w:hideMark/>
          </w:tcPr>
          <w:p w14:paraId="3B165EBE" w14:textId="77777777" w:rsidR="00186CE3" w:rsidRPr="00B27FE6" w:rsidRDefault="00186CE3" w:rsidP="00E8795E">
            <w:pPr>
              <w:jc w:val="center"/>
              <w:rPr>
                <w:color w:val="000000"/>
                <w:sz w:val="20"/>
                <w:szCs w:val="20"/>
                <w:lang w:val="en-GB"/>
              </w:rPr>
            </w:pPr>
            <w:r w:rsidRPr="00B27FE6">
              <w:rPr>
                <w:color w:val="000000"/>
                <w:sz w:val="20"/>
                <w:szCs w:val="20"/>
                <w:lang w:val="en-GB"/>
              </w:rPr>
              <w:t>Unemployment rate</w:t>
            </w:r>
          </w:p>
        </w:tc>
        <w:tc>
          <w:tcPr>
            <w:tcW w:w="1129" w:type="dxa"/>
            <w:tcBorders>
              <w:top w:val="nil"/>
              <w:left w:val="nil"/>
              <w:bottom w:val="single" w:sz="4" w:space="0" w:color="auto"/>
              <w:right w:val="single" w:sz="4" w:space="0" w:color="auto"/>
            </w:tcBorders>
            <w:shd w:val="clear" w:color="auto" w:fill="auto"/>
            <w:vAlign w:val="center"/>
            <w:hideMark/>
          </w:tcPr>
          <w:p w14:paraId="643D618F" w14:textId="77777777" w:rsidR="00186CE3" w:rsidRPr="00B27FE6" w:rsidRDefault="00186CE3" w:rsidP="00E8795E">
            <w:pPr>
              <w:jc w:val="center"/>
              <w:rPr>
                <w:color w:val="000000"/>
                <w:sz w:val="20"/>
                <w:szCs w:val="20"/>
                <w:lang w:val="en-GB"/>
              </w:rPr>
            </w:pPr>
          </w:p>
        </w:tc>
        <w:tc>
          <w:tcPr>
            <w:tcW w:w="1235" w:type="dxa"/>
            <w:tcBorders>
              <w:top w:val="nil"/>
              <w:left w:val="nil"/>
              <w:bottom w:val="single" w:sz="4" w:space="0" w:color="auto"/>
              <w:right w:val="single" w:sz="4" w:space="0" w:color="auto"/>
            </w:tcBorders>
            <w:shd w:val="clear" w:color="auto" w:fill="auto"/>
            <w:vAlign w:val="center"/>
            <w:hideMark/>
          </w:tcPr>
          <w:p w14:paraId="21D4902E" w14:textId="77777777" w:rsidR="00186CE3" w:rsidRPr="00B27FE6" w:rsidRDefault="00186CE3" w:rsidP="00E8795E">
            <w:pPr>
              <w:jc w:val="center"/>
              <w:rPr>
                <w:color w:val="000000"/>
                <w:sz w:val="20"/>
                <w:szCs w:val="20"/>
                <w:lang w:val="en-GB"/>
              </w:rPr>
            </w:pPr>
          </w:p>
        </w:tc>
        <w:tc>
          <w:tcPr>
            <w:tcW w:w="1235" w:type="dxa"/>
            <w:tcBorders>
              <w:top w:val="nil"/>
              <w:left w:val="nil"/>
              <w:bottom w:val="single" w:sz="4" w:space="0" w:color="auto"/>
              <w:right w:val="single" w:sz="4" w:space="0" w:color="auto"/>
            </w:tcBorders>
            <w:shd w:val="clear" w:color="auto" w:fill="auto"/>
            <w:vAlign w:val="center"/>
            <w:hideMark/>
          </w:tcPr>
          <w:p w14:paraId="72ABF765" w14:textId="77777777" w:rsidR="00186CE3" w:rsidRPr="00B27FE6" w:rsidRDefault="00186CE3" w:rsidP="00E8795E">
            <w:pPr>
              <w:jc w:val="center"/>
              <w:rPr>
                <w:color w:val="000000"/>
                <w:sz w:val="20"/>
                <w:szCs w:val="20"/>
                <w:lang w:val="en-GB"/>
              </w:rPr>
            </w:pPr>
          </w:p>
        </w:tc>
        <w:tc>
          <w:tcPr>
            <w:tcW w:w="1129" w:type="dxa"/>
            <w:tcBorders>
              <w:top w:val="nil"/>
              <w:left w:val="nil"/>
              <w:bottom w:val="single" w:sz="4" w:space="0" w:color="auto"/>
              <w:right w:val="single" w:sz="4" w:space="0" w:color="auto"/>
            </w:tcBorders>
            <w:shd w:val="clear" w:color="auto" w:fill="auto"/>
            <w:vAlign w:val="center"/>
            <w:hideMark/>
          </w:tcPr>
          <w:p w14:paraId="4A3ED0DB" w14:textId="77777777" w:rsidR="00186CE3" w:rsidRPr="00B27FE6" w:rsidRDefault="00186CE3" w:rsidP="00E8795E">
            <w:pPr>
              <w:jc w:val="center"/>
              <w:rPr>
                <w:color w:val="000000"/>
                <w:sz w:val="20"/>
                <w:szCs w:val="20"/>
                <w:lang w:val="en-GB"/>
              </w:rPr>
            </w:pPr>
            <w:r w:rsidRPr="00B27FE6">
              <w:rPr>
                <w:color w:val="000000"/>
                <w:sz w:val="20"/>
                <w:szCs w:val="20"/>
                <w:lang w:val="en-GB"/>
              </w:rPr>
              <w:t>0.0342***</w:t>
            </w:r>
          </w:p>
        </w:tc>
        <w:tc>
          <w:tcPr>
            <w:tcW w:w="1097" w:type="dxa"/>
            <w:tcBorders>
              <w:top w:val="nil"/>
              <w:left w:val="nil"/>
              <w:bottom w:val="single" w:sz="4" w:space="0" w:color="auto"/>
              <w:right w:val="single" w:sz="4" w:space="0" w:color="auto"/>
            </w:tcBorders>
            <w:shd w:val="clear" w:color="auto" w:fill="auto"/>
            <w:vAlign w:val="center"/>
            <w:hideMark/>
          </w:tcPr>
          <w:p w14:paraId="66DF4270" w14:textId="77777777" w:rsidR="00186CE3" w:rsidRPr="00B27FE6" w:rsidRDefault="00186CE3" w:rsidP="00E8795E">
            <w:pPr>
              <w:jc w:val="center"/>
              <w:rPr>
                <w:color w:val="000000"/>
                <w:sz w:val="20"/>
                <w:szCs w:val="20"/>
                <w:lang w:val="en-GB"/>
              </w:rPr>
            </w:pPr>
            <w:r w:rsidRPr="00B27FE6">
              <w:rPr>
                <w:color w:val="000000"/>
                <w:sz w:val="20"/>
                <w:szCs w:val="20"/>
                <w:lang w:val="en-GB"/>
              </w:rPr>
              <w:t>-0.002***</w:t>
            </w:r>
          </w:p>
        </w:tc>
        <w:tc>
          <w:tcPr>
            <w:tcW w:w="1276" w:type="dxa"/>
            <w:tcBorders>
              <w:top w:val="nil"/>
              <w:left w:val="nil"/>
              <w:bottom w:val="single" w:sz="4" w:space="0" w:color="auto"/>
              <w:right w:val="single" w:sz="8" w:space="0" w:color="auto"/>
            </w:tcBorders>
            <w:shd w:val="clear" w:color="auto" w:fill="auto"/>
            <w:vAlign w:val="center"/>
            <w:hideMark/>
          </w:tcPr>
          <w:p w14:paraId="1E04BD93" w14:textId="77777777" w:rsidR="00186CE3" w:rsidRPr="00B27FE6" w:rsidRDefault="00186CE3" w:rsidP="00E8795E">
            <w:pPr>
              <w:jc w:val="center"/>
              <w:rPr>
                <w:color w:val="000000"/>
                <w:sz w:val="20"/>
                <w:szCs w:val="20"/>
                <w:lang w:val="en-GB"/>
              </w:rPr>
            </w:pPr>
            <w:r w:rsidRPr="00B27FE6">
              <w:rPr>
                <w:color w:val="000000"/>
                <w:sz w:val="20"/>
                <w:szCs w:val="20"/>
                <w:lang w:val="en-GB"/>
              </w:rPr>
              <w:t>-0.0182***</w:t>
            </w:r>
          </w:p>
        </w:tc>
      </w:tr>
      <w:tr w:rsidR="00186CE3" w:rsidRPr="00B27FE6" w14:paraId="638BFC2E" w14:textId="77777777" w:rsidTr="00E8795E">
        <w:trPr>
          <w:trHeight w:val="183"/>
          <w:jc w:val="center"/>
        </w:trPr>
        <w:tc>
          <w:tcPr>
            <w:tcW w:w="1547" w:type="dxa"/>
            <w:tcBorders>
              <w:top w:val="nil"/>
              <w:left w:val="single" w:sz="8" w:space="0" w:color="auto"/>
              <w:bottom w:val="single" w:sz="4" w:space="0" w:color="auto"/>
              <w:right w:val="single" w:sz="8" w:space="0" w:color="auto"/>
            </w:tcBorders>
            <w:shd w:val="clear" w:color="000000" w:fill="D9D9D9"/>
            <w:noWrap/>
            <w:vAlign w:val="center"/>
            <w:hideMark/>
          </w:tcPr>
          <w:p w14:paraId="320887A7" w14:textId="77777777" w:rsidR="00186CE3" w:rsidRPr="00B27FE6" w:rsidRDefault="00186CE3" w:rsidP="00E8795E">
            <w:pPr>
              <w:jc w:val="center"/>
              <w:rPr>
                <w:color w:val="000000"/>
                <w:sz w:val="20"/>
                <w:szCs w:val="20"/>
                <w:lang w:val="en-GB"/>
              </w:rPr>
            </w:pPr>
            <w:r>
              <w:rPr>
                <w:color w:val="000000"/>
                <w:sz w:val="20"/>
                <w:szCs w:val="20"/>
                <w:lang w:val="en-GB"/>
              </w:rPr>
              <w:t xml:space="preserve">log </w:t>
            </w:r>
            <w:r w:rsidRPr="00B27FE6">
              <w:rPr>
                <w:color w:val="000000"/>
                <w:sz w:val="20"/>
                <w:szCs w:val="20"/>
                <w:lang w:val="en-GB"/>
              </w:rPr>
              <w:t>K/L</w:t>
            </w:r>
          </w:p>
        </w:tc>
        <w:tc>
          <w:tcPr>
            <w:tcW w:w="1129" w:type="dxa"/>
            <w:tcBorders>
              <w:top w:val="nil"/>
              <w:left w:val="nil"/>
              <w:bottom w:val="single" w:sz="4" w:space="0" w:color="auto"/>
              <w:right w:val="single" w:sz="4" w:space="0" w:color="auto"/>
            </w:tcBorders>
            <w:shd w:val="clear" w:color="auto" w:fill="auto"/>
            <w:vAlign w:val="center"/>
            <w:hideMark/>
          </w:tcPr>
          <w:p w14:paraId="0C48EBA9" w14:textId="77777777" w:rsidR="00186CE3" w:rsidRPr="00B27FE6" w:rsidRDefault="00186CE3" w:rsidP="00E8795E">
            <w:pPr>
              <w:jc w:val="center"/>
              <w:rPr>
                <w:color w:val="000000"/>
                <w:sz w:val="20"/>
                <w:szCs w:val="20"/>
                <w:lang w:val="en-GB"/>
              </w:rPr>
            </w:pPr>
            <w:r w:rsidRPr="00B27FE6">
              <w:rPr>
                <w:color w:val="000000"/>
                <w:sz w:val="20"/>
                <w:szCs w:val="20"/>
                <w:lang w:val="en-GB"/>
              </w:rPr>
              <w:t>0.105***</w:t>
            </w:r>
          </w:p>
        </w:tc>
        <w:tc>
          <w:tcPr>
            <w:tcW w:w="1235" w:type="dxa"/>
            <w:tcBorders>
              <w:top w:val="nil"/>
              <w:left w:val="nil"/>
              <w:bottom w:val="single" w:sz="4" w:space="0" w:color="auto"/>
              <w:right w:val="single" w:sz="4" w:space="0" w:color="auto"/>
            </w:tcBorders>
            <w:shd w:val="clear" w:color="auto" w:fill="auto"/>
            <w:vAlign w:val="center"/>
            <w:hideMark/>
          </w:tcPr>
          <w:p w14:paraId="64856BA3" w14:textId="77777777" w:rsidR="00186CE3" w:rsidRPr="00B27FE6" w:rsidRDefault="00186CE3" w:rsidP="00E8795E">
            <w:pPr>
              <w:jc w:val="center"/>
              <w:rPr>
                <w:color w:val="000000"/>
                <w:sz w:val="20"/>
                <w:szCs w:val="20"/>
                <w:lang w:val="en-GB"/>
              </w:rPr>
            </w:pPr>
            <w:r w:rsidRPr="00B27FE6">
              <w:rPr>
                <w:color w:val="000000"/>
                <w:sz w:val="20"/>
                <w:szCs w:val="20"/>
                <w:lang w:val="en-GB"/>
              </w:rPr>
              <w:t>0.124***</w:t>
            </w:r>
          </w:p>
        </w:tc>
        <w:tc>
          <w:tcPr>
            <w:tcW w:w="1235" w:type="dxa"/>
            <w:tcBorders>
              <w:top w:val="nil"/>
              <w:left w:val="nil"/>
              <w:bottom w:val="single" w:sz="4" w:space="0" w:color="auto"/>
              <w:right w:val="single" w:sz="4" w:space="0" w:color="auto"/>
            </w:tcBorders>
            <w:shd w:val="clear" w:color="auto" w:fill="auto"/>
            <w:vAlign w:val="center"/>
            <w:hideMark/>
          </w:tcPr>
          <w:p w14:paraId="6D7F43B9" w14:textId="77777777" w:rsidR="00186CE3" w:rsidRPr="00B27FE6" w:rsidRDefault="00186CE3" w:rsidP="00E8795E">
            <w:pPr>
              <w:jc w:val="center"/>
              <w:rPr>
                <w:color w:val="000000"/>
                <w:sz w:val="20"/>
                <w:szCs w:val="20"/>
                <w:lang w:val="en-GB"/>
              </w:rPr>
            </w:pPr>
            <w:r w:rsidRPr="00B27FE6">
              <w:rPr>
                <w:color w:val="000000"/>
                <w:sz w:val="20"/>
                <w:szCs w:val="20"/>
                <w:lang w:val="en-GB"/>
              </w:rPr>
              <w:t>-0.264***</w:t>
            </w:r>
          </w:p>
        </w:tc>
        <w:tc>
          <w:tcPr>
            <w:tcW w:w="1129" w:type="dxa"/>
            <w:tcBorders>
              <w:top w:val="nil"/>
              <w:left w:val="nil"/>
              <w:bottom w:val="single" w:sz="4" w:space="0" w:color="auto"/>
              <w:right w:val="single" w:sz="4" w:space="0" w:color="auto"/>
            </w:tcBorders>
            <w:shd w:val="clear" w:color="auto" w:fill="auto"/>
            <w:vAlign w:val="center"/>
            <w:hideMark/>
          </w:tcPr>
          <w:p w14:paraId="4656058B" w14:textId="77777777" w:rsidR="00186CE3" w:rsidRPr="00B27FE6" w:rsidRDefault="00186CE3" w:rsidP="00E8795E">
            <w:pPr>
              <w:jc w:val="center"/>
              <w:rPr>
                <w:color w:val="000000"/>
                <w:sz w:val="20"/>
                <w:szCs w:val="20"/>
                <w:lang w:val="en-GB"/>
              </w:rPr>
            </w:pPr>
            <w:r w:rsidRPr="00B27FE6">
              <w:rPr>
                <w:color w:val="000000"/>
                <w:sz w:val="20"/>
                <w:szCs w:val="20"/>
                <w:lang w:val="en-GB"/>
              </w:rPr>
              <w:t>-2.073***</w:t>
            </w:r>
          </w:p>
        </w:tc>
        <w:tc>
          <w:tcPr>
            <w:tcW w:w="1097" w:type="dxa"/>
            <w:tcBorders>
              <w:top w:val="nil"/>
              <w:left w:val="nil"/>
              <w:bottom w:val="single" w:sz="4" w:space="0" w:color="auto"/>
              <w:right w:val="single" w:sz="4" w:space="0" w:color="auto"/>
            </w:tcBorders>
            <w:shd w:val="clear" w:color="auto" w:fill="auto"/>
            <w:vAlign w:val="center"/>
            <w:hideMark/>
          </w:tcPr>
          <w:p w14:paraId="6D1F90B7" w14:textId="77777777" w:rsidR="00186CE3" w:rsidRPr="00B27FE6" w:rsidRDefault="00186CE3" w:rsidP="00E8795E">
            <w:pPr>
              <w:jc w:val="center"/>
              <w:rPr>
                <w:color w:val="000000"/>
                <w:sz w:val="20"/>
                <w:szCs w:val="20"/>
                <w:lang w:val="en-GB"/>
              </w:rPr>
            </w:pPr>
            <w:r w:rsidRPr="00B27FE6">
              <w:rPr>
                <w:color w:val="000000"/>
                <w:sz w:val="20"/>
                <w:szCs w:val="20"/>
                <w:lang w:val="en-GB"/>
              </w:rPr>
              <w:t>0.283***</w:t>
            </w:r>
          </w:p>
        </w:tc>
        <w:tc>
          <w:tcPr>
            <w:tcW w:w="1276" w:type="dxa"/>
            <w:tcBorders>
              <w:top w:val="nil"/>
              <w:left w:val="nil"/>
              <w:bottom w:val="single" w:sz="4" w:space="0" w:color="auto"/>
              <w:right w:val="single" w:sz="8" w:space="0" w:color="auto"/>
            </w:tcBorders>
            <w:shd w:val="clear" w:color="auto" w:fill="auto"/>
            <w:vAlign w:val="center"/>
            <w:hideMark/>
          </w:tcPr>
          <w:p w14:paraId="6EFFB9E8" w14:textId="77777777" w:rsidR="00186CE3" w:rsidRPr="00B27FE6" w:rsidRDefault="00186CE3" w:rsidP="00E8795E">
            <w:pPr>
              <w:jc w:val="center"/>
              <w:rPr>
                <w:color w:val="000000"/>
                <w:sz w:val="20"/>
                <w:szCs w:val="20"/>
                <w:lang w:val="en-GB"/>
              </w:rPr>
            </w:pPr>
            <w:r w:rsidRPr="00B27FE6">
              <w:rPr>
                <w:color w:val="000000"/>
                <w:sz w:val="20"/>
                <w:szCs w:val="20"/>
                <w:lang w:val="en-GB"/>
              </w:rPr>
              <w:t>-0.140*</w:t>
            </w:r>
          </w:p>
        </w:tc>
      </w:tr>
      <w:tr w:rsidR="00186CE3" w:rsidRPr="00B27FE6" w14:paraId="1BCF490E" w14:textId="77777777" w:rsidTr="00E8795E">
        <w:trPr>
          <w:trHeight w:val="368"/>
          <w:jc w:val="center"/>
        </w:trPr>
        <w:tc>
          <w:tcPr>
            <w:tcW w:w="1547" w:type="dxa"/>
            <w:tcBorders>
              <w:top w:val="nil"/>
              <w:left w:val="single" w:sz="8" w:space="0" w:color="auto"/>
              <w:bottom w:val="single" w:sz="4" w:space="0" w:color="auto"/>
              <w:right w:val="single" w:sz="8" w:space="0" w:color="auto"/>
            </w:tcBorders>
            <w:shd w:val="clear" w:color="000000" w:fill="D9D9D9"/>
            <w:vAlign w:val="center"/>
            <w:hideMark/>
          </w:tcPr>
          <w:p w14:paraId="0C565724" w14:textId="77777777" w:rsidR="00186CE3" w:rsidRPr="00B27FE6" w:rsidRDefault="00186CE3" w:rsidP="00E8795E">
            <w:pPr>
              <w:jc w:val="center"/>
              <w:rPr>
                <w:color w:val="000000"/>
                <w:sz w:val="20"/>
                <w:szCs w:val="20"/>
                <w:lang w:val="en-GB"/>
              </w:rPr>
            </w:pPr>
            <w:r w:rsidRPr="00B27FE6">
              <w:rPr>
                <w:color w:val="000000"/>
                <w:sz w:val="20"/>
                <w:szCs w:val="20"/>
                <w:lang w:val="en-GB"/>
              </w:rPr>
              <w:t>High</w:t>
            </w:r>
            <w:r w:rsidRPr="00B27FE6">
              <w:rPr>
                <w:color w:val="000000"/>
                <w:sz w:val="20"/>
                <w:szCs w:val="20"/>
                <w:lang w:val="en-GB"/>
              </w:rPr>
              <w:br/>
              <w:t>technology</w:t>
            </w:r>
          </w:p>
        </w:tc>
        <w:tc>
          <w:tcPr>
            <w:tcW w:w="1129" w:type="dxa"/>
            <w:tcBorders>
              <w:top w:val="nil"/>
              <w:left w:val="nil"/>
              <w:bottom w:val="single" w:sz="4" w:space="0" w:color="auto"/>
              <w:right w:val="single" w:sz="4" w:space="0" w:color="auto"/>
            </w:tcBorders>
            <w:shd w:val="clear" w:color="auto" w:fill="auto"/>
            <w:vAlign w:val="center"/>
            <w:hideMark/>
          </w:tcPr>
          <w:p w14:paraId="6759BF2A" w14:textId="77777777" w:rsidR="00186CE3" w:rsidRPr="00B27FE6" w:rsidRDefault="00186CE3" w:rsidP="00E8795E">
            <w:pPr>
              <w:jc w:val="center"/>
              <w:rPr>
                <w:color w:val="000000"/>
                <w:sz w:val="20"/>
                <w:szCs w:val="20"/>
                <w:lang w:val="en-GB"/>
              </w:rPr>
            </w:pPr>
            <w:r w:rsidRPr="00B27FE6">
              <w:rPr>
                <w:color w:val="000000"/>
                <w:sz w:val="20"/>
                <w:szCs w:val="20"/>
                <w:lang w:val="en-GB"/>
              </w:rPr>
              <w:t>-0.00222</w:t>
            </w:r>
          </w:p>
        </w:tc>
        <w:tc>
          <w:tcPr>
            <w:tcW w:w="1235" w:type="dxa"/>
            <w:tcBorders>
              <w:top w:val="nil"/>
              <w:left w:val="nil"/>
              <w:bottom w:val="single" w:sz="4" w:space="0" w:color="auto"/>
              <w:right w:val="single" w:sz="4" w:space="0" w:color="auto"/>
            </w:tcBorders>
            <w:shd w:val="clear" w:color="auto" w:fill="auto"/>
            <w:vAlign w:val="center"/>
            <w:hideMark/>
          </w:tcPr>
          <w:p w14:paraId="7907AC36" w14:textId="77777777" w:rsidR="00186CE3" w:rsidRPr="00B27FE6" w:rsidRDefault="00186CE3" w:rsidP="00E8795E">
            <w:pPr>
              <w:jc w:val="center"/>
              <w:rPr>
                <w:color w:val="000000"/>
                <w:sz w:val="20"/>
                <w:szCs w:val="20"/>
                <w:lang w:val="en-GB"/>
              </w:rPr>
            </w:pPr>
            <w:r w:rsidRPr="00B27FE6">
              <w:rPr>
                <w:color w:val="000000"/>
                <w:sz w:val="20"/>
                <w:szCs w:val="20"/>
                <w:lang w:val="en-GB"/>
              </w:rPr>
              <w:t>0.00205***</w:t>
            </w:r>
          </w:p>
        </w:tc>
        <w:tc>
          <w:tcPr>
            <w:tcW w:w="1235" w:type="dxa"/>
            <w:tcBorders>
              <w:top w:val="nil"/>
              <w:left w:val="nil"/>
              <w:bottom w:val="single" w:sz="4" w:space="0" w:color="auto"/>
              <w:right w:val="single" w:sz="4" w:space="0" w:color="auto"/>
            </w:tcBorders>
            <w:shd w:val="clear" w:color="auto" w:fill="auto"/>
            <w:vAlign w:val="center"/>
            <w:hideMark/>
          </w:tcPr>
          <w:p w14:paraId="36667A6B" w14:textId="77777777" w:rsidR="00186CE3" w:rsidRPr="00B27FE6" w:rsidRDefault="00186CE3" w:rsidP="00E8795E">
            <w:pPr>
              <w:jc w:val="center"/>
              <w:rPr>
                <w:color w:val="000000"/>
                <w:sz w:val="20"/>
                <w:szCs w:val="20"/>
                <w:lang w:val="en-GB"/>
              </w:rPr>
            </w:pPr>
            <w:r w:rsidRPr="00B27FE6">
              <w:rPr>
                <w:color w:val="000000"/>
                <w:sz w:val="20"/>
                <w:szCs w:val="20"/>
                <w:lang w:val="en-GB"/>
              </w:rPr>
              <w:t>0.00134***</w:t>
            </w:r>
          </w:p>
        </w:tc>
        <w:tc>
          <w:tcPr>
            <w:tcW w:w="1129" w:type="dxa"/>
            <w:tcBorders>
              <w:top w:val="nil"/>
              <w:left w:val="nil"/>
              <w:bottom w:val="single" w:sz="4" w:space="0" w:color="auto"/>
              <w:right w:val="single" w:sz="4" w:space="0" w:color="auto"/>
            </w:tcBorders>
            <w:shd w:val="clear" w:color="auto" w:fill="auto"/>
            <w:vAlign w:val="center"/>
            <w:hideMark/>
          </w:tcPr>
          <w:p w14:paraId="14733CCE" w14:textId="77777777" w:rsidR="00186CE3" w:rsidRPr="00B27FE6" w:rsidRDefault="00186CE3" w:rsidP="00E8795E">
            <w:pPr>
              <w:jc w:val="center"/>
              <w:rPr>
                <w:color w:val="000000"/>
                <w:sz w:val="20"/>
                <w:szCs w:val="20"/>
                <w:lang w:val="en-GB"/>
              </w:rPr>
            </w:pPr>
            <w:r w:rsidRPr="00B27FE6">
              <w:rPr>
                <w:color w:val="000000"/>
                <w:sz w:val="20"/>
                <w:szCs w:val="20"/>
                <w:lang w:val="en-GB"/>
              </w:rPr>
              <w:t>-0.0190*</w:t>
            </w:r>
          </w:p>
        </w:tc>
        <w:tc>
          <w:tcPr>
            <w:tcW w:w="1097" w:type="dxa"/>
            <w:tcBorders>
              <w:top w:val="nil"/>
              <w:left w:val="nil"/>
              <w:bottom w:val="single" w:sz="4" w:space="0" w:color="auto"/>
              <w:right w:val="single" w:sz="4" w:space="0" w:color="auto"/>
            </w:tcBorders>
            <w:shd w:val="clear" w:color="auto" w:fill="auto"/>
            <w:vAlign w:val="center"/>
            <w:hideMark/>
          </w:tcPr>
          <w:p w14:paraId="23F06DD3" w14:textId="77777777" w:rsidR="00186CE3" w:rsidRPr="00B27FE6" w:rsidRDefault="00186CE3" w:rsidP="00E8795E">
            <w:pPr>
              <w:jc w:val="center"/>
              <w:rPr>
                <w:color w:val="000000"/>
                <w:sz w:val="20"/>
                <w:szCs w:val="20"/>
                <w:lang w:val="en-GB"/>
              </w:rPr>
            </w:pPr>
            <w:r w:rsidRPr="00B27FE6">
              <w:rPr>
                <w:color w:val="000000"/>
                <w:sz w:val="20"/>
                <w:szCs w:val="20"/>
                <w:lang w:val="en-GB"/>
              </w:rPr>
              <w:t>-0.010***</w:t>
            </w:r>
          </w:p>
        </w:tc>
        <w:tc>
          <w:tcPr>
            <w:tcW w:w="1276" w:type="dxa"/>
            <w:tcBorders>
              <w:top w:val="nil"/>
              <w:left w:val="nil"/>
              <w:bottom w:val="single" w:sz="4" w:space="0" w:color="auto"/>
              <w:right w:val="single" w:sz="8" w:space="0" w:color="auto"/>
            </w:tcBorders>
            <w:shd w:val="clear" w:color="auto" w:fill="auto"/>
            <w:vAlign w:val="center"/>
            <w:hideMark/>
          </w:tcPr>
          <w:p w14:paraId="59B1F9F6" w14:textId="77777777" w:rsidR="00186CE3" w:rsidRPr="00B27FE6" w:rsidRDefault="00186CE3" w:rsidP="00E8795E">
            <w:pPr>
              <w:jc w:val="center"/>
              <w:rPr>
                <w:color w:val="000000"/>
                <w:sz w:val="20"/>
                <w:szCs w:val="20"/>
                <w:lang w:val="en-GB"/>
              </w:rPr>
            </w:pPr>
            <w:r w:rsidRPr="00B27FE6">
              <w:rPr>
                <w:color w:val="000000"/>
                <w:sz w:val="20"/>
                <w:szCs w:val="20"/>
                <w:lang w:val="en-GB"/>
              </w:rPr>
              <w:t>0.0231***</w:t>
            </w:r>
          </w:p>
        </w:tc>
      </w:tr>
      <w:tr w:rsidR="00186CE3" w:rsidRPr="00B27FE6" w14:paraId="3D351F0C" w14:textId="77777777" w:rsidTr="00E8795E">
        <w:trPr>
          <w:trHeight w:val="368"/>
          <w:jc w:val="center"/>
        </w:trPr>
        <w:tc>
          <w:tcPr>
            <w:tcW w:w="1547" w:type="dxa"/>
            <w:tcBorders>
              <w:top w:val="nil"/>
              <w:left w:val="single" w:sz="8" w:space="0" w:color="auto"/>
              <w:bottom w:val="single" w:sz="4" w:space="0" w:color="auto"/>
              <w:right w:val="single" w:sz="8" w:space="0" w:color="auto"/>
            </w:tcBorders>
            <w:shd w:val="clear" w:color="000000" w:fill="D9D9D9"/>
            <w:vAlign w:val="center"/>
            <w:hideMark/>
          </w:tcPr>
          <w:p w14:paraId="7A326D22" w14:textId="77777777" w:rsidR="00186CE3" w:rsidRPr="00B27FE6" w:rsidRDefault="00186CE3" w:rsidP="00E8795E">
            <w:pPr>
              <w:jc w:val="center"/>
              <w:rPr>
                <w:color w:val="000000"/>
                <w:sz w:val="20"/>
                <w:szCs w:val="20"/>
                <w:lang w:val="en-GB"/>
              </w:rPr>
            </w:pPr>
            <w:r w:rsidRPr="00B27FE6">
              <w:rPr>
                <w:color w:val="000000"/>
                <w:sz w:val="20"/>
                <w:szCs w:val="20"/>
                <w:lang w:val="en-GB"/>
              </w:rPr>
              <w:t>Medium</w:t>
            </w:r>
            <w:r w:rsidRPr="00B27FE6">
              <w:rPr>
                <w:color w:val="000000"/>
                <w:sz w:val="20"/>
                <w:szCs w:val="20"/>
                <w:lang w:val="en-GB"/>
              </w:rPr>
              <w:br/>
              <w:t>technology</w:t>
            </w:r>
          </w:p>
        </w:tc>
        <w:tc>
          <w:tcPr>
            <w:tcW w:w="1129" w:type="dxa"/>
            <w:tcBorders>
              <w:top w:val="nil"/>
              <w:left w:val="nil"/>
              <w:bottom w:val="single" w:sz="4" w:space="0" w:color="auto"/>
              <w:right w:val="single" w:sz="4" w:space="0" w:color="auto"/>
            </w:tcBorders>
            <w:shd w:val="clear" w:color="auto" w:fill="auto"/>
            <w:vAlign w:val="center"/>
            <w:hideMark/>
          </w:tcPr>
          <w:p w14:paraId="7B91A364" w14:textId="77777777" w:rsidR="00186CE3" w:rsidRPr="00B27FE6" w:rsidRDefault="00186CE3" w:rsidP="00E8795E">
            <w:pPr>
              <w:jc w:val="center"/>
              <w:rPr>
                <w:color w:val="000000"/>
                <w:sz w:val="20"/>
                <w:szCs w:val="20"/>
                <w:lang w:val="en-GB"/>
              </w:rPr>
            </w:pPr>
            <w:r w:rsidRPr="00B27FE6">
              <w:rPr>
                <w:color w:val="000000"/>
                <w:sz w:val="20"/>
                <w:szCs w:val="20"/>
                <w:lang w:val="en-GB"/>
              </w:rPr>
              <w:t>-0.00103</w:t>
            </w:r>
          </w:p>
        </w:tc>
        <w:tc>
          <w:tcPr>
            <w:tcW w:w="1235" w:type="dxa"/>
            <w:tcBorders>
              <w:top w:val="nil"/>
              <w:left w:val="nil"/>
              <w:bottom w:val="single" w:sz="4" w:space="0" w:color="auto"/>
              <w:right w:val="single" w:sz="4" w:space="0" w:color="auto"/>
            </w:tcBorders>
            <w:shd w:val="clear" w:color="auto" w:fill="auto"/>
            <w:vAlign w:val="center"/>
            <w:hideMark/>
          </w:tcPr>
          <w:p w14:paraId="1D361EDA" w14:textId="77777777" w:rsidR="00186CE3" w:rsidRPr="00B27FE6" w:rsidRDefault="00186CE3" w:rsidP="00E8795E">
            <w:pPr>
              <w:jc w:val="center"/>
              <w:rPr>
                <w:color w:val="000000"/>
                <w:sz w:val="20"/>
                <w:szCs w:val="20"/>
                <w:lang w:val="en-GB"/>
              </w:rPr>
            </w:pPr>
            <w:r w:rsidRPr="00B27FE6">
              <w:rPr>
                <w:color w:val="000000"/>
                <w:sz w:val="20"/>
                <w:szCs w:val="20"/>
                <w:lang w:val="en-GB"/>
              </w:rPr>
              <w:t>0.000866*</w:t>
            </w:r>
          </w:p>
        </w:tc>
        <w:tc>
          <w:tcPr>
            <w:tcW w:w="1235" w:type="dxa"/>
            <w:tcBorders>
              <w:top w:val="nil"/>
              <w:left w:val="nil"/>
              <w:bottom w:val="single" w:sz="4" w:space="0" w:color="auto"/>
              <w:right w:val="single" w:sz="4" w:space="0" w:color="auto"/>
            </w:tcBorders>
            <w:shd w:val="clear" w:color="auto" w:fill="auto"/>
            <w:vAlign w:val="center"/>
            <w:hideMark/>
          </w:tcPr>
          <w:p w14:paraId="404A5DD9" w14:textId="77777777" w:rsidR="00186CE3" w:rsidRPr="00B27FE6" w:rsidRDefault="00186CE3" w:rsidP="00E8795E">
            <w:pPr>
              <w:jc w:val="center"/>
              <w:rPr>
                <w:color w:val="000000"/>
                <w:sz w:val="20"/>
                <w:szCs w:val="20"/>
                <w:lang w:val="en-GB"/>
              </w:rPr>
            </w:pPr>
            <w:r w:rsidRPr="00B27FE6">
              <w:rPr>
                <w:color w:val="000000"/>
                <w:sz w:val="20"/>
                <w:szCs w:val="20"/>
                <w:lang w:val="en-GB"/>
              </w:rPr>
              <w:t>-0.000182</w:t>
            </w:r>
          </w:p>
        </w:tc>
        <w:tc>
          <w:tcPr>
            <w:tcW w:w="1129" w:type="dxa"/>
            <w:tcBorders>
              <w:top w:val="nil"/>
              <w:left w:val="nil"/>
              <w:bottom w:val="single" w:sz="4" w:space="0" w:color="auto"/>
              <w:right w:val="single" w:sz="4" w:space="0" w:color="auto"/>
            </w:tcBorders>
            <w:shd w:val="clear" w:color="auto" w:fill="auto"/>
            <w:vAlign w:val="center"/>
            <w:hideMark/>
          </w:tcPr>
          <w:p w14:paraId="7FFF20B3" w14:textId="77777777" w:rsidR="00186CE3" w:rsidRPr="00B27FE6" w:rsidRDefault="00186CE3" w:rsidP="00E8795E">
            <w:pPr>
              <w:jc w:val="center"/>
              <w:rPr>
                <w:color w:val="000000"/>
                <w:sz w:val="20"/>
                <w:szCs w:val="20"/>
                <w:lang w:val="en-GB"/>
              </w:rPr>
            </w:pPr>
            <w:r w:rsidRPr="00B27FE6">
              <w:rPr>
                <w:color w:val="000000"/>
                <w:sz w:val="20"/>
                <w:szCs w:val="20"/>
                <w:lang w:val="en-GB"/>
              </w:rPr>
              <w:t>0.00585</w:t>
            </w:r>
          </w:p>
        </w:tc>
        <w:tc>
          <w:tcPr>
            <w:tcW w:w="1097" w:type="dxa"/>
            <w:tcBorders>
              <w:top w:val="nil"/>
              <w:left w:val="nil"/>
              <w:bottom w:val="single" w:sz="4" w:space="0" w:color="auto"/>
              <w:right w:val="single" w:sz="4" w:space="0" w:color="auto"/>
            </w:tcBorders>
            <w:shd w:val="clear" w:color="auto" w:fill="auto"/>
            <w:vAlign w:val="center"/>
            <w:hideMark/>
          </w:tcPr>
          <w:p w14:paraId="79966F2E" w14:textId="77777777" w:rsidR="00186CE3" w:rsidRPr="00B27FE6" w:rsidRDefault="00186CE3" w:rsidP="00E8795E">
            <w:pPr>
              <w:jc w:val="center"/>
              <w:rPr>
                <w:color w:val="000000"/>
                <w:sz w:val="20"/>
                <w:szCs w:val="20"/>
                <w:lang w:val="en-GB"/>
              </w:rPr>
            </w:pPr>
            <w:r w:rsidRPr="00B27FE6">
              <w:rPr>
                <w:color w:val="000000"/>
                <w:sz w:val="20"/>
                <w:szCs w:val="20"/>
                <w:lang w:val="en-GB"/>
              </w:rPr>
              <w:t>0.00139</w:t>
            </w:r>
          </w:p>
        </w:tc>
        <w:tc>
          <w:tcPr>
            <w:tcW w:w="1276" w:type="dxa"/>
            <w:tcBorders>
              <w:top w:val="nil"/>
              <w:left w:val="nil"/>
              <w:bottom w:val="single" w:sz="4" w:space="0" w:color="auto"/>
              <w:right w:val="single" w:sz="8" w:space="0" w:color="auto"/>
            </w:tcBorders>
            <w:shd w:val="clear" w:color="auto" w:fill="auto"/>
            <w:vAlign w:val="center"/>
            <w:hideMark/>
          </w:tcPr>
          <w:p w14:paraId="1B34372B" w14:textId="77777777" w:rsidR="00186CE3" w:rsidRPr="00B27FE6" w:rsidRDefault="00186CE3" w:rsidP="00E8795E">
            <w:pPr>
              <w:jc w:val="center"/>
              <w:rPr>
                <w:color w:val="000000"/>
                <w:sz w:val="20"/>
                <w:szCs w:val="20"/>
                <w:lang w:val="en-GB"/>
              </w:rPr>
            </w:pPr>
            <w:r w:rsidRPr="00B27FE6">
              <w:rPr>
                <w:color w:val="000000"/>
                <w:sz w:val="20"/>
                <w:szCs w:val="20"/>
                <w:lang w:val="en-GB"/>
              </w:rPr>
              <w:t>0.000248</w:t>
            </w:r>
          </w:p>
        </w:tc>
      </w:tr>
      <w:tr w:rsidR="00186CE3" w:rsidRPr="00B27FE6" w14:paraId="1D71CB2F" w14:textId="77777777" w:rsidTr="00E8795E">
        <w:trPr>
          <w:trHeight w:val="368"/>
          <w:jc w:val="center"/>
        </w:trPr>
        <w:tc>
          <w:tcPr>
            <w:tcW w:w="1547" w:type="dxa"/>
            <w:tcBorders>
              <w:top w:val="nil"/>
              <w:left w:val="single" w:sz="8" w:space="0" w:color="auto"/>
              <w:bottom w:val="single" w:sz="4" w:space="0" w:color="auto"/>
              <w:right w:val="single" w:sz="8" w:space="0" w:color="auto"/>
            </w:tcBorders>
            <w:shd w:val="clear" w:color="000000" w:fill="D9D9D9"/>
            <w:vAlign w:val="center"/>
            <w:hideMark/>
          </w:tcPr>
          <w:p w14:paraId="39F4F291" w14:textId="77777777" w:rsidR="00186CE3" w:rsidRPr="00B27FE6" w:rsidRDefault="00186CE3" w:rsidP="00E8795E">
            <w:pPr>
              <w:jc w:val="center"/>
              <w:rPr>
                <w:color w:val="000000"/>
                <w:sz w:val="20"/>
                <w:szCs w:val="20"/>
                <w:lang w:val="en-GB"/>
              </w:rPr>
            </w:pPr>
            <w:r w:rsidRPr="00B27FE6">
              <w:rPr>
                <w:color w:val="000000"/>
                <w:sz w:val="20"/>
                <w:szCs w:val="20"/>
                <w:lang w:val="en-GB"/>
              </w:rPr>
              <w:t>Low</w:t>
            </w:r>
            <w:r w:rsidRPr="00B27FE6">
              <w:rPr>
                <w:color w:val="000000"/>
                <w:sz w:val="20"/>
                <w:szCs w:val="20"/>
                <w:lang w:val="en-GB"/>
              </w:rPr>
              <w:br/>
              <w:t>technology</w:t>
            </w:r>
          </w:p>
        </w:tc>
        <w:tc>
          <w:tcPr>
            <w:tcW w:w="1129" w:type="dxa"/>
            <w:tcBorders>
              <w:top w:val="nil"/>
              <w:left w:val="nil"/>
              <w:bottom w:val="single" w:sz="4" w:space="0" w:color="auto"/>
              <w:right w:val="single" w:sz="4" w:space="0" w:color="auto"/>
            </w:tcBorders>
            <w:shd w:val="clear" w:color="auto" w:fill="auto"/>
            <w:vAlign w:val="center"/>
            <w:hideMark/>
          </w:tcPr>
          <w:p w14:paraId="050A6B0A" w14:textId="77777777" w:rsidR="00186CE3" w:rsidRPr="00B27FE6" w:rsidRDefault="00186CE3" w:rsidP="00E8795E">
            <w:pPr>
              <w:jc w:val="center"/>
              <w:rPr>
                <w:color w:val="000000"/>
                <w:sz w:val="20"/>
                <w:szCs w:val="20"/>
                <w:lang w:val="en-GB"/>
              </w:rPr>
            </w:pPr>
            <w:r w:rsidRPr="00B27FE6">
              <w:rPr>
                <w:color w:val="000000"/>
                <w:sz w:val="20"/>
                <w:szCs w:val="20"/>
                <w:lang w:val="en-GB"/>
              </w:rPr>
              <w:t>0.0296***</w:t>
            </w:r>
          </w:p>
        </w:tc>
        <w:tc>
          <w:tcPr>
            <w:tcW w:w="1235" w:type="dxa"/>
            <w:tcBorders>
              <w:top w:val="nil"/>
              <w:left w:val="nil"/>
              <w:bottom w:val="single" w:sz="4" w:space="0" w:color="auto"/>
              <w:right w:val="single" w:sz="4" w:space="0" w:color="auto"/>
            </w:tcBorders>
            <w:shd w:val="clear" w:color="auto" w:fill="auto"/>
            <w:vAlign w:val="center"/>
            <w:hideMark/>
          </w:tcPr>
          <w:p w14:paraId="7BB9013F" w14:textId="77777777" w:rsidR="00186CE3" w:rsidRPr="00B27FE6" w:rsidRDefault="00186CE3" w:rsidP="00E8795E">
            <w:pPr>
              <w:jc w:val="center"/>
              <w:rPr>
                <w:color w:val="000000"/>
                <w:sz w:val="20"/>
                <w:szCs w:val="20"/>
                <w:lang w:val="en-GB"/>
              </w:rPr>
            </w:pPr>
            <w:r w:rsidRPr="00B27FE6">
              <w:rPr>
                <w:color w:val="000000"/>
                <w:sz w:val="20"/>
                <w:szCs w:val="20"/>
                <w:lang w:val="en-GB"/>
              </w:rPr>
              <w:t>-0.000346</w:t>
            </w:r>
          </w:p>
        </w:tc>
        <w:tc>
          <w:tcPr>
            <w:tcW w:w="1235" w:type="dxa"/>
            <w:tcBorders>
              <w:top w:val="nil"/>
              <w:left w:val="nil"/>
              <w:bottom w:val="single" w:sz="4" w:space="0" w:color="auto"/>
              <w:right w:val="single" w:sz="4" w:space="0" w:color="auto"/>
            </w:tcBorders>
            <w:shd w:val="clear" w:color="auto" w:fill="auto"/>
            <w:vAlign w:val="center"/>
            <w:hideMark/>
          </w:tcPr>
          <w:p w14:paraId="0371CAF2" w14:textId="77777777" w:rsidR="00186CE3" w:rsidRPr="00B27FE6" w:rsidRDefault="00186CE3" w:rsidP="00E8795E">
            <w:pPr>
              <w:jc w:val="center"/>
              <w:rPr>
                <w:color w:val="000000"/>
                <w:sz w:val="20"/>
                <w:szCs w:val="20"/>
                <w:lang w:val="en-GB"/>
              </w:rPr>
            </w:pPr>
            <w:r w:rsidRPr="00B27FE6">
              <w:rPr>
                <w:color w:val="000000"/>
                <w:sz w:val="20"/>
                <w:szCs w:val="20"/>
                <w:lang w:val="en-GB"/>
              </w:rPr>
              <w:t>-0.000343</w:t>
            </w:r>
          </w:p>
        </w:tc>
        <w:tc>
          <w:tcPr>
            <w:tcW w:w="1129" w:type="dxa"/>
            <w:tcBorders>
              <w:top w:val="nil"/>
              <w:left w:val="nil"/>
              <w:bottom w:val="single" w:sz="4" w:space="0" w:color="auto"/>
              <w:right w:val="single" w:sz="4" w:space="0" w:color="auto"/>
            </w:tcBorders>
            <w:shd w:val="clear" w:color="auto" w:fill="auto"/>
            <w:vAlign w:val="center"/>
            <w:hideMark/>
          </w:tcPr>
          <w:p w14:paraId="3F835F89" w14:textId="77777777" w:rsidR="00186CE3" w:rsidRPr="00B27FE6" w:rsidRDefault="00186CE3" w:rsidP="00E8795E">
            <w:pPr>
              <w:jc w:val="center"/>
              <w:rPr>
                <w:color w:val="000000"/>
                <w:sz w:val="20"/>
                <w:szCs w:val="20"/>
                <w:lang w:val="en-GB"/>
              </w:rPr>
            </w:pPr>
            <w:r w:rsidRPr="00B27FE6">
              <w:rPr>
                <w:color w:val="000000"/>
                <w:sz w:val="20"/>
                <w:szCs w:val="20"/>
                <w:lang w:val="en-GB"/>
              </w:rPr>
              <w:t>0.0614***</w:t>
            </w:r>
          </w:p>
        </w:tc>
        <w:tc>
          <w:tcPr>
            <w:tcW w:w="1097" w:type="dxa"/>
            <w:tcBorders>
              <w:top w:val="nil"/>
              <w:left w:val="nil"/>
              <w:bottom w:val="single" w:sz="4" w:space="0" w:color="auto"/>
              <w:right w:val="single" w:sz="4" w:space="0" w:color="auto"/>
            </w:tcBorders>
            <w:shd w:val="clear" w:color="auto" w:fill="auto"/>
            <w:vAlign w:val="center"/>
            <w:hideMark/>
          </w:tcPr>
          <w:p w14:paraId="2DF4D866" w14:textId="77777777" w:rsidR="00186CE3" w:rsidRPr="00B27FE6" w:rsidRDefault="00186CE3" w:rsidP="00E8795E">
            <w:pPr>
              <w:jc w:val="center"/>
              <w:rPr>
                <w:color w:val="000000"/>
                <w:sz w:val="20"/>
                <w:szCs w:val="20"/>
                <w:lang w:val="en-GB"/>
              </w:rPr>
            </w:pPr>
            <w:r w:rsidRPr="00B27FE6">
              <w:rPr>
                <w:color w:val="000000"/>
                <w:sz w:val="20"/>
                <w:szCs w:val="20"/>
                <w:lang w:val="en-GB"/>
              </w:rPr>
              <w:t>-0.0077**</w:t>
            </w:r>
          </w:p>
        </w:tc>
        <w:tc>
          <w:tcPr>
            <w:tcW w:w="1276" w:type="dxa"/>
            <w:tcBorders>
              <w:top w:val="nil"/>
              <w:left w:val="nil"/>
              <w:bottom w:val="single" w:sz="4" w:space="0" w:color="auto"/>
              <w:right w:val="single" w:sz="8" w:space="0" w:color="auto"/>
            </w:tcBorders>
            <w:shd w:val="clear" w:color="auto" w:fill="auto"/>
            <w:vAlign w:val="center"/>
            <w:hideMark/>
          </w:tcPr>
          <w:p w14:paraId="251E7B6D" w14:textId="77777777" w:rsidR="00186CE3" w:rsidRPr="00B27FE6" w:rsidRDefault="00186CE3" w:rsidP="00E8795E">
            <w:pPr>
              <w:jc w:val="center"/>
              <w:rPr>
                <w:color w:val="000000"/>
                <w:sz w:val="20"/>
                <w:szCs w:val="20"/>
                <w:lang w:val="en-GB"/>
              </w:rPr>
            </w:pPr>
            <w:r w:rsidRPr="00B27FE6">
              <w:rPr>
                <w:color w:val="000000"/>
                <w:sz w:val="20"/>
                <w:szCs w:val="20"/>
                <w:lang w:val="en-GB"/>
              </w:rPr>
              <w:t>-0.0338***</w:t>
            </w:r>
          </w:p>
        </w:tc>
      </w:tr>
      <w:tr w:rsidR="00186CE3" w:rsidRPr="00B27FE6" w14:paraId="7CA44E2F" w14:textId="77777777" w:rsidTr="00E8795E">
        <w:trPr>
          <w:trHeight w:val="183"/>
          <w:jc w:val="center"/>
        </w:trPr>
        <w:tc>
          <w:tcPr>
            <w:tcW w:w="1547" w:type="dxa"/>
            <w:tcBorders>
              <w:top w:val="nil"/>
              <w:left w:val="single" w:sz="8" w:space="0" w:color="auto"/>
              <w:bottom w:val="single" w:sz="4" w:space="0" w:color="auto"/>
              <w:right w:val="single" w:sz="8" w:space="0" w:color="auto"/>
            </w:tcBorders>
            <w:shd w:val="clear" w:color="000000" w:fill="D9D9D9"/>
            <w:noWrap/>
            <w:vAlign w:val="center"/>
            <w:hideMark/>
          </w:tcPr>
          <w:p w14:paraId="318C8199" w14:textId="77777777" w:rsidR="00186CE3" w:rsidRPr="00B27FE6" w:rsidRDefault="00186CE3" w:rsidP="00E8795E">
            <w:pPr>
              <w:jc w:val="center"/>
              <w:rPr>
                <w:color w:val="000000"/>
                <w:sz w:val="20"/>
                <w:szCs w:val="20"/>
                <w:lang w:val="en-GB"/>
              </w:rPr>
            </w:pPr>
            <w:r w:rsidRPr="00B27FE6">
              <w:rPr>
                <w:color w:val="000000"/>
                <w:sz w:val="20"/>
                <w:szCs w:val="20"/>
                <w:lang w:val="en-GB"/>
              </w:rPr>
              <w:t>2004</w:t>
            </w:r>
          </w:p>
        </w:tc>
        <w:tc>
          <w:tcPr>
            <w:tcW w:w="1129" w:type="dxa"/>
            <w:tcBorders>
              <w:top w:val="nil"/>
              <w:left w:val="nil"/>
              <w:bottom w:val="single" w:sz="4" w:space="0" w:color="auto"/>
              <w:right w:val="single" w:sz="4" w:space="0" w:color="auto"/>
            </w:tcBorders>
            <w:shd w:val="clear" w:color="auto" w:fill="auto"/>
            <w:vAlign w:val="center"/>
            <w:hideMark/>
          </w:tcPr>
          <w:p w14:paraId="765494E8" w14:textId="77777777" w:rsidR="00186CE3" w:rsidRPr="00B27FE6" w:rsidRDefault="00186CE3" w:rsidP="00E8795E">
            <w:pPr>
              <w:jc w:val="center"/>
              <w:rPr>
                <w:color w:val="000000"/>
                <w:sz w:val="20"/>
                <w:szCs w:val="20"/>
                <w:lang w:val="en-GB"/>
              </w:rPr>
            </w:pPr>
            <w:r w:rsidRPr="00B27FE6">
              <w:rPr>
                <w:color w:val="000000"/>
                <w:sz w:val="20"/>
                <w:szCs w:val="20"/>
                <w:lang w:val="en-GB"/>
              </w:rPr>
              <w:t>-0.00539</w:t>
            </w:r>
          </w:p>
        </w:tc>
        <w:tc>
          <w:tcPr>
            <w:tcW w:w="1235" w:type="dxa"/>
            <w:tcBorders>
              <w:top w:val="nil"/>
              <w:left w:val="nil"/>
              <w:bottom w:val="single" w:sz="4" w:space="0" w:color="auto"/>
              <w:right w:val="single" w:sz="4" w:space="0" w:color="auto"/>
            </w:tcBorders>
            <w:shd w:val="clear" w:color="auto" w:fill="auto"/>
            <w:vAlign w:val="center"/>
            <w:hideMark/>
          </w:tcPr>
          <w:p w14:paraId="25E18FAE" w14:textId="77777777" w:rsidR="00186CE3" w:rsidRPr="00B27FE6" w:rsidRDefault="00186CE3" w:rsidP="00E8795E">
            <w:pPr>
              <w:jc w:val="center"/>
              <w:rPr>
                <w:color w:val="000000"/>
                <w:sz w:val="20"/>
                <w:szCs w:val="20"/>
                <w:lang w:val="en-GB"/>
              </w:rPr>
            </w:pPr>
            <w:r w:rsidRPr="00B27FE6">
              <w:rPr>
                <w:color w:val="000000"/>
                <w:sz w:val="20"/>
                <w:szCs w:val="20"/>
                <w:lang w:val="en-GB"/>
              </w:rPr>
              <w:t>-0.00233*</w:t>
            </w:r>
          </w:p>
        </w:tc>
        <w:tc>
          <w:tcPr>
            <w:tcW w:w="1235" w:type="dxa"/>
            <w:tcBorders>
              <w:top w:val="nil"/>
              <w:left w:val="nil"/>
              <w:bottom w:val="single" w:sz="4" w:space="0" w:color="auto"/>
              <w:right w:val="single" w:sz="4" w:space="0" w:color="auto"/>
            </w:tcBorders>
            <w:shd w:val="clear" w:color="auto" w:fill="auto"/>
            <w:vAlign w:val="center"/>
            <w:hideMark/>
          </w:tcPr>
          <w:p w14:paraId="5951C261" w14:textId="77777777" w:rsidR="00186CE3" w:rsidRPr="00B27FE6" w:rsidRDefault="00186CE3" w:rsidP="00E8795E">
            <w:pPr>
              <w:jc w:val="center"/>
              <w:rPr>
                <w:color w:val="000000"/>
                <w:sz w:val="20"/>
                <w:szCs w:val="20"/>
                <w:lang w:val="en-GB"/>
              </w:rPr>
            </w:pPr>
            <w:r w:rsidRPr="00B27FE6">
              <w:rPr>
                <w:color w:val="000000"/>
                <w:sz w:val="20"/>
                <w:szCs w:val="20"/>
                <w:lang w:val="en-GB"/>
              </w:rPr>
              <w:t>0.00286**</w:t>
            </w:r>
          </w:p>
        </w:tc>
        <w:tc>
          <w:tcPr>
            <w:tcW w:w="1129" w:type="dxa"/>
            <w:tcBorders>
              <w:top w:val="nil"/>
              <w:left w:val="nil"/>
              <w:bottom w:val="single" w:sz="4" w:space="0" w:color="auto"/>
              <w:right w:val="single" w:sz="4" w:space="0" w:color="auto"/>
            </w:tcBorders>
            <w:shd w:val="clear" w:color="auto" w:fill="auto"/>
            <w:vAlign w:val="center"/>
            <w:hideMark/>
          </w:tcPr>
          <w:p w14:paraId="309AD79C" w14:textId="77777777" w:rsidR="00186CE3" w:rsidRPr="00B27FE6" w:rsidRDefault="00186CE3" w:rsidP="00E8795E">
            <w:pPr>
              <w:jc w:val="center"/>
              <w:rPr>
                <w:color w:val="000000"/>
                <w:sz w:val="20"/>
                <w:szCs w:val="20"/>
                <w:lang w:val="en-GB"/>
              </w:rPr>
            </w:pPr>
            <w:r w:rsidRPr="00B27FE6">
              <w:rPr>
                <w:color w:val="000000"/>
                <w:sz w:val="20"/>
                <w:szCs w:val="20"/>
                <w:lang w:val="en-GB"/>
              </w:rPr>
              <w:t>-0.0358</w:t>
            </w:r>
          </w:p>
        </w:tc>
        <w:tc>
          <w:tcPr>
            <w:tcW w:w="1097" w:type="dxa"/>
            <w:tcBorders>
              <w:top w:val="nil"/>
              <w:left w:val="nil"/>
              <w:bottom w:val="single" w:sz="4" w:space="0" w:color="auto"/>
              <w:right w:val="single" w:sz="4" w:space="0" w:color="auto"/>
            </w:tcBorders>
            <w:shd w:val="clear" w:color="auto" w:fill="auto"/>
            <w:vAlign w:val="center"/>
            <w:hideMark/>
          </w:tcPr>
          <w:p w14:paraId="3F4E4361" w14:textId="77777777" w:rsidR="00186CE3" w:rsidRPr="00B27FE6" w:rsidRDefault="00186CE3" w:rsidP="00E8795E">
            <w:pPr>
              <w:jc w:val="center"/>
              <w:rPr>
                <w:color w:val="000000"/>
                <w:sz w:val="20"/>
                <w:szCs w:val="20"/>
                <w:lang w:val="en-GB"/>
              </w:rPr>
            </w:pPr>
            <w:r w:rsidRPr="00B27FE6">
              <w:rPr>
                <w:color w:val="000000"/>
                <w:sz w:val="20"/>
                <w:szCs w:val="20"/>
                <w:lang w:val="en-GB"/>
              </w:rPr>
              <w:t>-0.000436</w:t>
            </w:r>
          </w:p>
        </w:tc>
        <w:tc>
          <w:tcPr>
            <w:tcW w:w="1276" w:type="dxa"/>
            <w:tcBorders>
              <w:top w:val="nil"/>
              <w:left w:val="nil"/>
              <w:bottom w:val="single" w:sz="4" w:space="0" w:color="auto"/>
              <w:right w:val="single" w:sz="8" w:space="0" w:color="auto"/>
            </w:tcBorders>
            <w:shd w:val="clear" w:color="auto" w:fill="auto"/>
            <w:vAlign w:val="center"/>
            <w:hideMark/>
          </w:tcPr>
          <w:p w14:paraId="387BB38F" w14:textId="77777777" w:rsidR="00186CE3" w:rsidRPr="00B27FE6" w:rsidRDefault="00186CE3" w:rsidP="00E8795E">
            <w:pPr>
              <w:jc w:val="center"/>
              <w:rPr>
                <w:color w:val="000000"/>
                <w:sz w:val="20"/>
                <w:szCs w:val="20"/>
                <w:lang w:val="en-GB"/>
              </w:rPr>
            </w:pPr>
            <w:r w:rsidRPr="00B27FE6">
              <w:rPr>
                <w:color w:val="000000"/>
                <w:sz w:val="20"/>
                <w:szCs w:val="20"/>
                <w:lang w:val="en-GB"/>
              </w:rPr>
              <w:t>0.0201</w:t>
            </w:r>
          </w:p>
        </w:tc>
      </w:tr>
      <w:tr w:rsidR="00186CE3" w:rsidRPr="00B27FE6" w14:paraId="04A363AC" w14:textId="77777777" w:rsidTr="00E8795E">
        <w:trPr>
          <w:trHeight w:val="183"/>
          <w:jc w:val="center"/>
        </w:trPr>
        <w:tc>
          <w:tcPr>
            <w:tcW w:w="1547" w:type="dxa"/>
            <w:tcBorders>
              <w:top w:val="nil"/>
              <w:left w:val="single" w:sz="8" w:space="0" w:color="auto"/>
              <w:bottom w:val="single" w:sz="4" w:space="0" w:color="auto"/>
              <w:right w:val="single" w:sz="8" w:space="0" w:color="auto"/>
            </w:tcBorders>
            <w:shd w:val="clear" w:color="000000" w:fill="D9D9D9"/>
            <w:noWrap/>
            <w:vAlign w:val="center"/>
            <w:hideMark/>
          </w:tcPr>
          <w:p w14:paraId="46586E17" w14:textId="77777777" w:rsidR="00186CE3" w:rsidRPr="00B27FE6" w:rsidRDefault="00186CE3" w:rsidP="00E8795E">
            <w:pPr>
              <w:jc w:val="center"/>
              <w:rPr>
                <w:color w:val="000000"/>
                <w:sz w:val="20"/>
                <w:szCs w:val="20"/>
                <w:lang w:val="en-GB"/>
              </w:rPr>
            </w:pPr>
            <w:r w:rsidRPr="00B27FE6">
              <w:rPr>
                <w:color w:val="000000"/>
                <w:sz w:val="20"/>
                <w:szCs w:val="20"/>
                <w:lang w:val="en-GB"/>
              </w:rPr>
              <w:t>2005</w:t>
            </w:r>
          </w:p>
        </w:tc>
        <w:tc>
          <w:tcPr>
            <w:tcW w:w="1129" w:type="dxa"/>
            <w:tcBorders>
              <w:top w:val="nil"/>
              <w:left w:val="nil"/>
              <w:bottom w:val="single" w:sz="4" w:space="0" w:color="auto"/>
              <w:right w:val="single" w:sz="4" w:space="0" w:color="auto"/>
            </w:tcBorders>
            <w:shd w:val="clear" w:color="auto" w:fill="auto"/>
            <w:vAlign w:val="center"/>
            <w:hideMark/>
          </w:tcPr>
          <w:p w14:paraId="49843C80" w14:textId="77777777" w:rsidR="00186CE3" w:rsidRPr="00B27FE6" w:rsidRDefault="00186CE3" w:rsidP="00E8795E">
            <w:pPr>
              <w:jc w:val="center"/>
              <w:rPr>
                <w:color w:val="000000"/>
                <w:sz w:val="20"/>
                <w:szCs w:val="20"/>
                <w:lang w:val="en-GB"/>
              </w:rPr>
            </w:pPr>
            <w:r w:rsidRPr="00B27FE6">
              <w:rPr>
                <w:color w:val="000000"/>
                <w:sz w:val="20"/>
                <w:szCs w:val="20"/>
                <w:lang w:val="en-GB"/>
              </w:rPr>
              <w:t>-0.00536</w:t>
            </w:r>
          </w:p>
        </w:tc>
        <w:tc>
          <w:tcPr>
            <w:tcW w:w="1235" w:type="dxa"/>
            <w:tcBorders>
              <w:top w:val="nil"/>
              <w:left w:val="nil"/>
              <w:bottom w:val="single" w:sz="4" w:space="0" w:color="auto"/>
              <w:right w:val="single" w:sz="4" w:space="0" w:color="auto"/>
            </w:tcBorders>
            <w:shd w:val="clear" w:color="auto" w:fill="auto"/>
            <w:vAlign w:val="center"/>
            <w:hideMark/>
          </w:tcPr>
          <w:p w14:paraId="7111D3A9" w14:textId="77777777" w:rsidR="00186CE3" w:rsidRPr="00B27FE6" w:rsidRDefault="00186CE3" w:rsidP="00E8795E">
            <w:pPr>
              <w:jc w:val="center"/>
              <w:rPr>
                <w:color w:val="000000"/>
                <w:sz w:val="20"/>
                <w:szCs w:val="20"/>
                <w:lang w:val="en-GB"/>
              </w:rPr>
            </w:pPr>
            <w:r w:rsidRPr="00B27FE6">
              <w:rPr>
                <w:color w:val="000000"/>
                <w:sz w:val="20"/>
                <w:szCs w:val="20"/>
                <w:lang w:val="en-GB"/>
              </w:rPr>
              <w:t>-0.00310**</w:t>
            </w:r>
          </w:p>
        </w:tc>
        <w:tc>
          <w:tcPr>
            <w:tcW w:w="1235" w:type="dxa"/>
            <w:tcBorders>
              <w:top w:val="nil"/>
              <w:left w:val="nil"/>
              <w:bottom w:val="single" w:sz="4" w:space="0" w:color="auto"/>
              <w:right w:val="single" w:sz="4" w:space="0" w:color="auto"/>
            </w:tcBorders>
            <w:shd w:val="clear" w:color="auto" w:fill="auto"/>
            <w:vAlign w:val="center"/>
            <w:hideMark/>
          </w:tcPr>
          <w:p w14:paraId="53F20071" w14:textId="77777777" w:rsidR="00186CE3" w:rsidRPr="00B27FE6" w:rsidRDefault="00186CE3" w:rsidP="00E8795E">
            <w:pPr>
              <w:jc w:val="center"/>
              <w:rPr>
                <w:color w:val="000000"/>
                <w:sz w:val="20"/>
                <w:szCs w:val="20"/>
                <w:lang w:val="en-GB"/>
              </w:rPr>
            </w:pPr>
            <w:r w:rsidRPr="00B27FE6">
              <w:rPr>
                <w:color w:val="000000"/>
                <w:sz w:val="20"/>
                <w:szCs w:val="20"/>
                <w:lang w:val="en-GB"/>
              </w:rPr>
              <w:t>0.00221</w:t>
            </w:r>
          </w:p>
        </w:tc>
        <w:tc>
          <w:tcPr>
            <w:tcW w:w="1129" w:type="dxa"/>
            <w:tcBorders>
              <w:top w:val="nil"/>
              <w:left w:val="nil"/>
              <w:bottom w:val="single" w:sz="4" w:space="0" w:color="auto"/>
              <w:right w:val="single" w:sz="4" w:space="0" w:color="auto"/>
            </w:tcBorders>
            <w:shd w:val="clear" w:color="auto" w:fill="auto"/>
            <w:vAlign w:val="center"/>
            <w:hideMark/>
          </w:tcPr>
          <w:p w14:paraId="0607C73F" w14:textId="77777777" w:rsidR="00186CE3" w:rsidRPr="00B27FE6" w:rsidRDefault="00186CE3" w:rsidP="00E8795E">
            <w:pPr>
              <w:jc w:val="center"/>
              <w:rPr>
                <w:color w:val="000000"/>
                <w:sz w:val="20"/>
                <w:szCs w:val="20"/>
                <w:lang w:val="en-GB"/>
              </w:rPr>
            </w:pPr>
            <w:r w:rsidRPr="00B27FE6">
              <w:rPr>
                <w:color w:val="000000"/>
                <w:sz w:val="20"/>
                <w:szCs w:val="20"/>
                <w:lang w:val="en-GB"/>
              </w:rPr>
              <w:t>-0.0492</w:t>
            </w:r>
          </w:p>
        </w:tc>
        <w:tc>
          <w:tcPr>
            <w:tcW w:w="1097" w:type="dxa"/>
            <w:tcBorders>
              <w:top w:val="nil"/>
              <w:left w:val="nil"/>
              <w:bottom w:val="single" w:sz="4" w:space="0" w:color="auto"/>
              <w:right w:val="single" w:sz="4" w:space="0" w:color="auto"/>
            </w:tcBorders>
            <w:shd w:val="clear" w:color="auto" w:fill="auto"/>
            <w:vAlign w:val="center"/>
            <w:hideMark/>
          </w:tcPr>
          <w:p w14:paraId="73736758" w14:textId="77777777" w:rsidR="00186CE3" w:rsidRPr="00B27FE6" w:rsidRDefault="00186CE3" w:rsidP="00E8795E">
            <w:pPr>
              <w:jc w:val="center"/>
              <w:rPr>
                <w:color w:val="000000"/>
                <w:sz w:val="20"/>
                <w:szCs w:val="20"/>
                <w:lang w:val="en-GB"/>
              </w:rPr>
            </w:pPr>
            <w:r w:rsidRPr="00B27FE6">
              <w:rPr>
                <w:color w:val="000000"/>
                <w:sz w:val="20"/>
                <w:szCs w:val="20"/>
                <w:lang w:val="en-GB"/>
              </w:rPr>
              <w:t>0.000888</w:t>
            </w:r>
          </w:p>
        </w:tc>
        <w:tc>
          <w:tcPr>
            <w:tcW w:w="1276" w:type="dxa"/>
            <w:tcBorders>
              <w:top w:val="nil"/>
              <w:left w:val="nil"/>
              <w:bottom w:val="single" w:sz="4" w:space="0" w:color="auto"/>
              <w:right w:val="single" w:sz="8" w:space="0" w:color="auto"/>
            </w:tcBorders>
            <w:shd w:val="clear" w:color="auto" w:fill="auto"/>
            <w:vAlign w:val="center"/>
            <w:hideMark/>
          </w:tcPr>
          <w:p w14:paraId="2D50824C" w14:textId="77777777" w:rsidR="00186CE3" w:rsidRPr="00B27FE6" w:rsidRDefault="00186CE3" w:rsidP="00E8795E">
            <w:pPr>
              <w:jc w:val="center"/>
              <w:rPr>
                <w:color w:val="000000"/>
                <w:sz w:val="20"/>
                <w:szCs w:val="20"/>
                <w:lang w:val="en-GB"/>
              </w:rPr>
            </w:pPr>
            <w:r w:rsidRPr="00B27FE6">
              <w:rPr>
                <w:color w:val="000000"/>
                <w:sz w:val="20"/>
                <w:szCs w:val="20"/>
                <w:lang w:val="en-GB"/>
              </w:rPr>
              <w:t>0.0149</w:t>
            </w:r>
          </w:p>
        </w:tc>
      </w:tr>
      <w:tr w:rsidR="00186CE3" w:rsidRPr="00B27FE6" w14:paraId="19D2D0FF" w14:textId="77777777" w:rsidTr="00E8795E">
        <w:trPr>
          <w:trHeight w:val="183"/>
          <w:jc w:val="center"/>
        </w:trPr>
        <w:tc>
          <w:tcPr>
            <w:tcW w:w="1547" w:type="dxa"/>
            <w:tcBorders>
              <w:top w:val="nil"/>
              <w:left w:val="single" w:sz="8" w:space="0" w:color="auto"/>
              <w:bottom w:val="single" w:sz="4" w:space="0" w:color="auto"/>
              <w:right w:val="single" w:sz="8" w:space="0" w:color="auto"/>
            </w:tcBorders>
            <w:shd w:val="clear" w:color="000000" w:fill="D9D9D9"/>
            <w:noWrap/>
            <w:vAlign w:val="center"/>
            <w:hideMark/>
          </w:tcPr>
          <w:p w14:paraId="0B336A98" w14:textId="77777777" w:rsidR="00186CE3" w:rsidRPr="00B27FE6" w:rsidRDefault="00186CE3" w:rsidP="00E8795E">
            <w:pPr>
              <w:jc w:val="center"/>
              <w:rPr>
                <w:color w:val="000000"/>
                <w:sz w:val="20"/>
                <w:szCs w:val="20"/>
                <w:lang w:val="en-GB"/>
              </w:rPr>
            </w:pPr>
            <w:r w:rsidRPr="00B27FE6">
              <w:rPr>
                <w:color w:val="000000"/>
                <w:sz w:val="20"/>
                <w:szCs w:val="20"/>
                <w:lang w:val="en-GB"/>
              </w:rPr>
              <w:t>2006</w:t>
            </w:r>
          </w:p>
        </w:tc>
        <w:tc>
          <w:tcPr>
            <w:tcW w:w="1129" w:type="dxa"/>
            <w:tcBorders>
              <w:top w:val="nil"/>
              <w:left w:val="nil"/>
              <w:bottom w:val="single" w:sz="4" w:space="0" w:color="auto"/>
              <w:right w:val="single" w:sz="4" w:space="0" w:color="auto"/>
            </w:tcBorders>
            <w:shd w:val="clear" w:color="auto" w:fill="auto"/>
            <w:vAlign w:val="center"/>
            <w:hideMark/>
          </w:tcPr>
          <w:p w14:paraId="4E8D0A08" w14:textId="77777777" w:rsidR="00186CE3" w:rsidRPr="00B27FE6" w:rsidRDefault="00186CE3" w:rsidP="00E8795E">
            <w:pPr>
              <w:jc w:val="center"/>
              <w:rPr>
                <w:color w:val="000000"/>
                <w:sz w:val="20"/>
                <w:szCs w:val="20"/>
                <w:lang w:val="en-GB"/>
              </w:rPr>
            </w:pPr>
            <w:r w:rsidRPr="00B27FE6">
              <w:rPr>
                <w:color w:val="000000"/>
                <w:sz w:val="20"/>
                <w:szCs w:val="20"/>
                <w:lang w:val="en-GB"/>
              </w:rPr>
              <w:t>-0.0175*</w:t>
            </w:r>
          </w:p>
        </w:tc>
        <w:tc>
          <w:tcPr>
            <w:tcW w:w="1235" w:type="dxa"/>
            <w:tcBorders>
              <w:top w:val="nil"/>
              <w:left w:val="nil"/>
              <w:bottom w:val="single" w:sz="4" w:space="0" w:color="auto"/>
              <w:right w:val="single" w:sz="4" w:space="0" w:color="auto"/>
            </w:tcBorders>
            <w:shd w:val="clear" w:color="auto" w:fill="auto"/>
            <w:vAlign w:val="center"/>
            <w:hideMark/>
          </w:tcPr>
          <w:p w14:paraId="13C6B352" w14:textId="77777777" w:rsidR="00186CE3" w:rsidRPr="00B27FE6" w:rsidRDefault="00186CE3" w:rsidP="00E8795E">
            <w:pPr>
              <w:jc w:val="center"/>
              <w:rPr>
                <w:color w:val="000000"/>
                <w:sz w:val="20"/>
                <w:szCs w:val="20"/>
                <w:lang w:val="en-GB"/>
              </w:rPr>
            </w:pPr>
            <w:r w:rsidRPr="00B27FE6">
              <w:rPr>
                <w:color w:val="000000"/>
                <w:sz w:val="20"/>
                <w:szCs w:val="20"/>
                <w:lang w:val="en-GB"/>
              </w:rPr>
              <w:t>-0.0043***</w:t>
            </w:r>
          </w:p>
        </w:tc>
        <w:tc>
          <w:tcPr>
            <w:tcW w:w="1235" w:type="dxa"/>
            <w:tcBorders>
              <w:top w:val="nil"/>
              <w:left w:val="nil"/>
              <w:bottom w:val="single" w:sz="4" w:space="0" w:color="auto"/>
              <w:right w:val="single" w:sz="4" w:space="0" w:color="auto"/>
            </w:tcBorders>
            <w:shd w:val="clear" w:color="auto" w:fill="auto"/>
            <w:vAlign w:val="center"/>
            <w:hideMark/>
          </w:tcPr>
          <w:p w14:paraId="48D9FF2B" w14:textId="77777777" w:rsidR="00186CE3" w:rsidRPr="00B27FE6" w:rsidRDefault="00186CE3" w:rsidP="00E8795E">
            <w:pPr>
              <w:jc w:val="center"/>
              <w:rPr>
                <w:color w:val="000000"/>
                <w:sz w:val="20"/>
                <w:szCs w:val="20"/>
                <w:lang w:val="en-GB"/>
              </w:rPr>
            </w:pPr>
            <w:r w:rsidRPr="00B27FE6">
              <w:rPr>
                <w:color w:val="000000"/>
                <w:sz w:val="20"/>
                <w:szCs w:val="20"/>
                <w:lang w:val="en-GB"/>
              </w:rPr>
              <w:t>0.00113</w:t>
            </w:r>
          </w:p>
        </w:tc>
        <w:tc>
          <w:tcPr>
            <w:tcW w:w="1129" w:type="dxa"/>
            <w:tcBorders>
              <w:top w:val="nil"/>
              <w:left w:val="nil"/>
              <w:bottom w:val="single" w:sz="4" w:space="0" w:color="auto"/>
              <w:right w:val="single" w:sz="4" w:space="0" w:color="auto"/>
            </w:tcBorders>
            <w:shd w:val="clear" w:color="auto" w:fill="auto"/>
            <w:vAlign w:val="center"/>
            <w:hideMark/>
          </w:tcPr>
          <w:p w14:paraId="6E1EFF2B" w14:textId="77777777" w:rsidR="00186CE3" w:rsidRPr="00B27FE6" w:rsidRDefault="00186CE3" w:rsidP="00E8795E">
            <w:pPr>
              <w:jc w:val="center"/>
              <w:rPr>
                <w:color w:val="000000"/>
                <w:sz w:val="20"/>
                <w:szCs w:val="20"/>
                <w:lang w:val="en-GB"/>
              </w:rPr>
            </w:pPr>
            <w:r w:rsidRPr="00B27FE6">
              <w:rPr>
                <w:color w:val="000000"/>
                <w:sz w:val="20"/>
                <w:szCs w:val="20"/>
                <w:lang w:val="en-GB"/>
              </w:rPr>
              <w:t>-0.0914**</w:t>
            </w:r>
          </w:p>
        </w:tc>
        <w:tc>
          <w:tcPr>
            <w:tcW w:w="1097" w:type="dxa"/>
            <w:tcBorders>
              <w:top w:val="nil"/>
              <w:left w:val="nil"/>
              <w:bottom w:val="single" w:sz="4" w:space="0" w:color="auto"/>
              <w:right w:val="single" w:sz="4" w:space="0" w:color="auto"/>
            </w:tcBorders>
            <w:shd w:val="clear" w:color="auto" w:fill="auto"/>
            <w:vAlign w:val="center"/>
            <w:hideMark/>
          </w:tcPr>
          <w:p w14:paraId="362FF9B3" w14:textId="77777777" w:rsidR="00186CE3" w:rsidRPr="00B27FE6" w:rsidRDefault="00186CE3" w:rsidP="00E8795E">
            <w:pPr>
              <w:jc w:val="center"/>
              <w:rPr>
                <w:color w:val="000000"/>
                <w:sz w:val="20"/>
                <w:szCs w:val="20"/>
                <w:lang w:val="en-GB"/>
              </w:rPr>
            </w:pPr>
            <w:r w:rsidRPr="00B27FE6">
              <w:rPr>
                <w:color w:val="000000"/>
                <w:sz w:val="20"/>
                <w:szCs w:val="20"/>
                <w:lang w:val="en-GB"/>
              </w:rPr>
              <w:t>-0.00204</w:t>
            </w:r>
          </w:p>
        </w:tc>
        <w:tc>
          <w:tcPr>
            <w:tcW w:w="1276" w:type="dxa"/>
            <w:tcBorders>
              <w:top w:val="nil"/>
              <w:left w:val="nil"/>
              <w:bottom w:val="single" w:sz="4" w:space="0" w:color="auto"/>
              <w:right w:val="single" w:sz="8" w:space="0" w:color="auto"/>
            </w:tcBorders>
            <w:shd w:val="clear" w:color="auto" w:fill="auto"/>
            <w:vAlign w:val="center"/>
            <w:hideMark/>
          </w:tcPr>
          <w:p w14:paraId="698B2336" w14:textId="77777777" w:rsidR="00186CE3" w:rsidRPr="00B27FE6" w:rsidRDefault="00186CE3" w:rsidP="00E8795E">
            <w:pPr>
              <w:jc w:val="center"/>
              <w:rPr>
                <w:color w:val="000000"/>
                <w:sz w:val="20"/>
                <w:szCs w:val="20"/>
                <w:lang w:val="en-GB"/>
              </w:rPr>
            </w:pPr>
            <w:r w:rsidRPr="00B27FE6">
              <w:rPr>
                <w:color w:val="000000"/>
                <w:sz w:val="20"/>
                <w:szCs w:val="20"/>
                <w:lang w:val="en-GB"/>
              </w:rPr>
              <w:t>0.0364**</w:t>
            </w:r>
          </w:p>
        </w:tc>
      </w:tr>
      <w:tr w:rsidR="00186CE3" w:rsidRPr="00B27FE6" w14:paraId="21A80EA2" w14:textId="77777777" w:rsidTr="00E8795E">
        <w:trPr>
          <w:trHeight w:val="183"/>
          <w:jc w:val="center"/>
        </w:trPr>
        <w:tc>
          <w:tcPr>
            <w:tcW w:w="1547" w:type="dxa"/>
            <w:tcBorders>
              <w:top w:val="nil"/>
              <w:left w:val="single" w:sz="8" w:space="0" w:color="auto"/>
              <w:bottom w:val="single" w:sz="4" w:space="0" w:color="auto"/>
              <w:right w:val="single" w:sz="8" w:space="0" w:color="auto"/>
            </w:tcBorders>
            <w:shd w:val="clear" w:color="000000" w:fill="D9D9D9"/>
            <w:noWrap/>
            <w:vAlign w:val="center"/>
            <w:hideMark/>
          </w:tcPr>
          <w:p w14:paraId="47A87C36" w14:textId="77777777" w:rsidR="00186CE3" w:rsidRPr="00B27FE6" w:rsidRDefault="00186CE3" w:rsidP="00E8795E">
            <w:pPr>
              <w:jc w:val="center"/>
              <w:rPr>
                <w:color w:val="000000"/>
                <w:sz w:val="20"/>
                <w:szCs w:val="20"/>
                <w:lang w:val="en-GB"/>
              </w:rPr>
            </w:pPr>
            <w:r w:rsidRPr="00B27FE6">
              <w:rPr>
                <w:color w:val="000000"/>
                <w:sz w:val="20"/>
                <w:szCs w:val="20"/>
                <w:lang w:val="en-GB"/>
              </w:rPr>
              <w:t>2007</w:t>
            </w:r>
          </w:p>
        </w:tc>
        <w:tc>
          <w:tcPr>
            <w:tcW w:w="1129" w:type="dxa"/>
            <w:tcBorders>
              <w:top w:val="nil"/>
              <w:left w:val="nil"/>
              <w:bottom w:val="single" w:sz="4" w:space="0" w:color="auto"/>
              <w:right w:val="single" w:sz="4" w:space="0" w:color="auto"/>
            </w:tcBorders>
            <w:shd w:val="clear" w:color="auto" w:fill="auto"/>
            <w:vAlign w:val="center"/>
            <w:hideMark/>
          </w:tcPr>
          <w:p w14:paraId="25B1F896" w14:textId="77777777" w:rsidR="00186CE3" w:rsidRPr="00B27FE6" w:rsidRDefault="00186CE3" w:rsidP="00E8795E">
            <w:pPr>
              <w:jc w:val="center"/>
              <w:rPr>
                <w:color w:val="000000"/>
                <w:sz w:val="20"/>
                <w:szCs w:val="20"/>
                <w:lang w:val="en-GB"/>
              </w:rPr>
            </w:pPr>
            <w:r w:rsidRPr="00B27FE6">
              <w:rPr>
                <w:color w:val="000000"/>
                <w:sz w:val="20"/>
                <w:szCs w:val="20"/>
                <w:lang w:val="en-GB"/>
              </w:rPr>
              <w:t>-0.028***</w:t>
            </w:r>
          </w:p>
        </w:tc>
        <w:tc>
          <w:tcPr>
            <w:tcW w:w="1235" w:type="dxa"/>
            <w:tcBorders>
              <w:top w:val="nil"/>
              <w:left w:val="nil"/>
              <w:bottom w:val="single" w:sz="4" w:space="0" w:color="auto"/>
              <w:right w:val="single" w:sz="4" w:space="0" w:color="auto"/>
            </w:tcBorders>
            <w:shd w:val="clear" w:color="auto" w:fill="auto"/>
            <w:vAlign w:val="center"/>
            <w:hideMark/>
          </w:tcPr>
          <w:p w14:paraId="379A6B95" w14:textId="77777777" w:rsidR="00186CE3" w:rsidRPr="00B27FE6" w:rsidRDefault="00186CE3" w:rsidP="00E8795E">
            <w:pPr>
              <w:jc w:val="center"/>
              <w:rPr>
                <w:color w:val="000000"/>
                <w:sz w:val="20"/>
                <w:szCs w:val="20"/>
                <w:lang w:val="en-GB"/>
              </w:rPr>
            </w:pPr>
            <w:r w:rsidRPr="00B27FE6">
              <w:rPr>
                <w:color w:val="000000"/>
                <w:sz w:val="20"/>
                <w:szCs w:val="20"/>
                <w:lang w:val="en-GB"/>
              </w:rPr>
              <w:t>-0.0057***</w:t>
            </w:r>
          </w:p>
        </w:tc>
        <w:tc>
          <w:tcPr>
            <w:tcW w:w="1235" w:type="dxa"/>
            <w:tcBorders>
              <w:top w:val="nil"/>
              <w:left w:val="nil"/>
              <w:bottom w:val="single" w:sz="4" w:space="0" w:color="auto"/>
              <w:right w:val="single" w:sz="4" w:space="0" w:color="auto"/>
            </w:tcBorders>
            <w:shd w:val="clear" w:color="auto" w:fill="auto"/>
            <w:vAlign w:val="center"/>
            <w:hideMark/>
          </w:tcPr>
          <w:p w14:paraId="3A1E0BD8" w14:textId="77777777" w:rsidR="00186CE3" w:rsidRPr="00B27FE6" w:rsidRDefault="00186CE3" w:rsidP="00E8795E">
            <w:pPr>
              <w:jc w:val="center"/>
              <w:rPr>
                <w:color w:val="000000"/>
                <w:sz w:val="20"/>
                <w:szCs w:val="20"/>
                <w:lang w:val="en-GB"/>
              </w:rPr>
            </w:pPr>
            <w:r w:rsidRPr="00B27FE6">
              <w:rPr>
                <w:color w:val="000000"/>
                <w:sz w:val="20"/>
                <w:szCs w:val="20"/>
                <w:lang w:val="en-GB"/>
              </w:rPr>
              <w:t>0.00285*</w:t>
            </w:r>
          </w:p>
        </w:tc>
        <w:tc>
          <w:tcPr>
            <w:tcW w:w="1129" w:type="dxa"/>
            <w:tcBorders>
              <w:top w:val="nil"/>
              <w:left w:val="nil"/>
              <w:bottom w:val="single" w:sz="4" w:space="0" w:color="auto"/>
              <w:right w:val="single" w:sz="4" w:space="0" w:color="auto"/>
            </w:tcBorders>
            <w:shd w:val="clear" w:color="auto" w:fill="auto"/>
            <w:vAlign w:val="center"/>
            <w:hideMark/>
          </w:tcPr>
          <w:p w14:paraId="2DB939B5" w14:textId="77777777" w:rsidR="00186CE3" w:rsidRPr="00B27FE6" w:rsidRDefault="00186CE3" w:rsidP="00E8795E">
            <w:pPr>
              <w:jc w:val="center"/>
              <w:rPr>
                <w:color w:val="000000"/>
                <w:sz w:val="20"/>
                <w:szCs w:val="20"/>
                <w:lang w:val="en-GB"/>
              </w:rPr>
            </w:pPr>
            <w:r w:rsidRPr="00B27FE6">
              <w:rPr>
                <w:color w:val="000000"/>
                <w:sz w:val="20"/>
                <w:szCs w:val="20"/>
                <w:lang w:val="en-GB"/>
              </w:rPr>
              <w:t>-0.125***</w:t>
            </w:r>
          </w:p>
        </w:tc>
        <w:tc>
          <w:tcPr>
            <w:tcW w:w="1097" w:type="dxa"/>
            <w:tcBorders>
              <w:top w:val="nil"/>
              <w:left w:val="nil"/>
              <w:bottom w:val="single" w:sz="4" w:space="0" w:color="auto"/>
              <w:right w:val="single" w:sz="4" w:space="0" w:color="auto"/>
            </w:tcBorders>
            <w:shd w:val="clear" w:color="auto" w:fill="auto"/>
            <w:vAlign w:val="center"/>
            <w:hideMark/>
          </w:tcPr>
          <w:p w14:paraId="35E79F3C" w14:textId="77777777" w:rsidR="00186CE3" w:rsidRPr="00B27FE6" w:rsidRDefault="00186CE3" w:rsidP="00E8795E">
            <w:pPr>
              <w:jc w:val="center"/>
              <w:rPr>
                <w:color w:val="000000"/>
                <w:sz w:val="20"/>
                <w:szCs w:val="20"/>
                <w:lang w:val="en-GB"/>
              </w:rPr>
            </w:pPr>
            <w:r w:rsidRPr="00B27FE6">
              <w:rPr>
                <w:color w:val="000000"/>
                <w:sz w:val="20"/>
                <w:szCs w:val="20"/>
                <w:lang w:val="en-GB"/>
              </w:rPr>
              <w:t>-0.00457</w:t>
            </w:r>
          </w:p>
        </w:tc>
        <w:tc>
          <w:tcPr>
            <w:tcW w:w="1276" w:type="dxa"/>
            <w:tcBorders>
              <w:top w:val="nil"/>
              <w:left w:val="nil"/>
              <w:bottom w:val="single" w:sz="4" w:space="0" w:color="auto"/>
              <w:right w:val="single" w:sz="8" w:space="0" w:color="auto"/>
            </w:tcBorders>
            <w:shd w:val="clear" w:color="auto" w:fill="auto"/>
            <w:vAlign w:val="center"/>
            <w:hideMark/>
          </w:tcPr>
          <w:p w14:paraId="11D48968" w14:textId="77777777" w:rsidR="00186CE3" w:rsidRPr="00B27FE6" w:rsidRDefault="00186CE3" w:rsidP="00E8795E">
            <w:pPr>
              <w:jc w:val="center"/>
              <w:rPr>
                <w:color w:val="000000"/>
                <w:sz w:val="20"/>
                <w:szCs w:val="20"/>
                <w:lang w:val="en-GB"/>
              </w:rPr>
            </w:pPr>
            <w:r w:rsidRPr="00B27FE6">
              <w:rPr>
                <w:color w:val="000000"/>
                <w:sz w:val="20"/>
                <w:szCs w:val="20"/>
                <w:lang w:val="en-GB"/>
              </w:rPr>
              <w:t>0.0551***</w:t>
            </w:r>
          </w:p>
        </w:tc>
      </w:tr>
      <w:tr w:rsidR="00186CE3" w:rsidRPr="00B27FE6" w14:paraId="3FCC52D0" w14:textId="77777777" w:rsidTr="00E8795E">
        <w:trPr>
          <w:trHeight w:val="183"/>
          <w:jc w:val="center"/>
        </w:trPr>
        <w:tc>
          <w:tcPr>
            <w:tcW w:w="1547" w:type="dxa"/>
            <w:tcBorders>
              <w:top w:val="nil"/>
              <w:left w:val="single" w:sz="8" w:space="0" w:color="auto"/>
              <w:bottom w:val="single" w:sz="4" w:space="0" w:color="auto"/>
              <w:right w:val="single" w:sz="8" w:space="0" w:color="auto"/>
            </w:tcBorders>
            <w:shd w:val="clear" w:color="000000" w:fill="D9D9D9"/>
            <w:noWrap/>
            <w:vAlign w:val="center"/>
            <w:hideMark/>
          </w:tcPr>
          <w:p w14:paraId="47462B00" w14:textId="77777777" w:rsidR="00186CE3" w:rsidRPr="00B27FE6" w:rsidRDefault="00186CE3" w:rsidP="00E8795E">
            <w:pPr>
              <w:jc w:val="center"/>
              <w:rPr>
                <w:color w:val="000000"/>
                <w:sz w:val="20"/>
                <w:szCs w:val="20"/>
                <w:lang w:val="en-GB"/>
              </w:rPr>
            </w:pPr>
            <w:r w:rsidRPr="00B27FE6">
              <w:rPr>
                <w:color w:val="000000"/>
                <w:sz w:val="20"/>
                <w:szCs w:val="20"/>
                <w:lang w:val="en-GB"/>
              </w:rPr>
              <w:t>2008</w:t>
            </w:r>
          </w:p>
        </w:tc>
        <w:tc>
          <w:tcPr>
            <w:tcW w:w="1129" w:type="dxa"/>
            <w:tcBorders>
              <w:top w:val="nil"/>
              <w:left w:val="nil"/>
              <w:bottom w:val="single" w:sz="4" w:space="0" w:color="auto"/>
              <w:right w:val="single" w:sz="4" w:space="0" w:color="auto"/>
            </w:tcBorders>
            <w:shd w:val="clear" w:color="auto" w:fill="auto"/>
            <w:vAlign w:val="center"/>
            <w:hideMark/>
          </w:tcPr>
          <w:p w14:paraId="69EC8A25" w14:textId="77777777" w:rsidR="00186CE3" w:rsidRPr="00B27FE6" w:rsidRDefault="00186CE3" w:rsidP="00E8795E">
            <w:pPr>
              <w:jc w:val="center"/>
              <w:rPr>
                <w:color w:val="000000"/>
                <w:sz w:val="20"/>
                <w:szCs w:val="20"/>
                <w:lang w:val="en-GB"/>
              </w:rPr>
            </w:pPr>
            <w:r w:rsidRPr="00B27FE6">
              <w:rPr>
                <w:color w:val="000000"/>
                <w:sz w:val="20"/>
                <w:szCs w:val="20"/>
                <w:lang w:val="en-GB"/>
              </w:rPr>
              <w:t>-0.0272**</w:t>
            </w:r>
          </w:p>
        </w:tc>
        <w:tc>
          <w:tcPr>
            <w:tcW w:w="1235" w:type="dxa"/>
            <w:tcBorders>
              <w:top w:val="nil"/>
              <w:left w:val="nil"/>
              <w:bottom w:val="single" w:sz="4" w:space="0" w:color="auto"/>
              <w:right w:val="single" w:sz="4" w:space="0" w:color="auto"/>
            </w:tcBorders>
            <w:shd w:val="clear" w:color="auto" w:fill="auto"/>
            <w:vAlign w:val="center"/>
            <w:hideMark/>
          </w:tcPr>
          <w:p w14:paraId="327CA3E7" w14:textId="77777777" w:rsidR="00186CE3" w:rsidRPr="00B27FE6" w:rsidRDefault="00186CE3" w:rsidP="00E8795E">
            <w:pPr>
              <w:jc w:val="center"/>
              <w:rPr>
                <w:color w:val="000000"/>
                <w:sz w:val="20"/>
                <w:szCs w:val="20"/>
                <w:lang w:val="en-GB"/>
              </w:rPr>
            </w:pPr>
            <w:r w:rsidRPr="00B27FE6">
              <w:rPr>
                <w:color w:val="000000"/>
                <w:sz w:val="20"/>
                <w:szCs w:val="20"/>
                <w:lang w:val="en-GB"/>
              </w:rPr>
              <w:t>-0.0067***</w:t>
            </w:r>
          </w:p>
        </w:tc>
        <w:tc>
          <w:tcPr>
            <w:tcW w:w="1235" w:type="dxa"/>
            <w:tcBorders>
              <w:top w:val="nil"/>
              <w:left w:val="nil"/>
              <w:bottom w:val="single" w:sz="4" w:space="0" w:color="auto"/>
              <w:right w:val="single" w:sz="4" w:space="0" w:color="auto"/>
            </w:tcBorders>
            <w:shd w:val="clear" w:color="auto" w:fill="auto"/>
            <w:vAlign w:val="center"/>
            <w:hideMark/>
          </w:tcPr>
          <w:p w14:paraId="72A8B56C" w14:textId="77777777" w:rsidR="00186CE3" w:rsidRPr="00B27FE6" w:rsidRDefault="00186CE3" w:rsidP="00E8795E">
            <w:pPr>
              <w:jc w:val="center"/>
              <w:rPr>
                <w:color w:val="000000"/>
                <w:sz w:val="20"/>
                <w:szCs w:val="20"/>
                <w:lang w:val="en-GB"/>
              </w:rPr>
            </w:pPr>
            <w:r w:rsidRPr="00B27FE6">
              <w:rPr>
                <w:color w:val="000000"/>
                <w:sz w:val="20"/>
                <w:szCs w:val="20"/>
                <w:lang w:val="en-GB"/>
              </w:rPr>
              <w:t>0.00685***</w:t>
            </w:r>
          </w:p>
        </w:tc>
        <w:tc>
          <w:tcPr>
            <w:tcW w:w="1129" w:type="dxa"/>
            <w:tcBorders>
              <w:top w:val="nil"/>
              <w:left w:val="nil"/>
              <w:bottom w:val="single" w:sz="4" w:space="0" w:color="auto"/>
              <w:right w:val="single" w:sz="4" w:space="0" w:color="auto"/>
            </w:tcBorders>
            <w:shd w:val="clear" w:color="auto" w:fill="auto"/>
            <w:vAlign w:val="center"/>
            <w:hideMark/>
          </w:tcPr>
          <w:p w14:paraId="4D44EEA3" w14:textId="77777777" w:rsidR="00186CE3" w:rsidRPr="00B27FE6" w:rsidRDefault="00186CE3" w:rsidP="00E8795E">
            <w:pPr>
              <w:jc w:val="center"/>
              <w:rPr>
                <w:color w:val="000000"/>
                <w:sz w:val="20"/>
                <w:szCs w:val="20"/>
                <w:lang w:val="en-GB"/>
              </w:rPr>
            </w:pPr>
            <w:r w:rsidRPr="00B27FE6">
              <w:rPr>
                <w:color w:val="000000"/>
                <w:sz w:val="20"/>
                <w:szCs w:val="20"/>
                <w:lang w:val="en-GB"/>
              </w:rPr>
              <w:t>-0.0739*</w:t>
            </w:r>
          </w:p>
        </w:tc>
        <w:tc>
          <w:tcPr>
            <w:tcW w:w="1097" w:type="dxa"/>
            <w:tcBorders>
              <w:top w:val="nil"/>
              <w:left w:val="nil"/>
              <w:bottom w:val="single" w:sz="4" w:space="0" w:color="auto"/>
              <w:right w:val="single" w:sz="4" w:space="0" w:color="auto"/>
            </w:tcBorders>
            <w:shd w:val="clear" w:color="auto" w:fill="auto"/>
            <w:vAlign w:val="center"/>
            <w:hideMark/>
          </w:tcPr>
          <w:p w14:paraId="6883CD89" w14:textId="77777777" w:rsidR="00186CE3" w:rsidRPr="00B27FE6" w:rsidRDefault="00186CE3" w:rsidP="00E8795E">
            <w:pPr>
              <w:jc w:val="center"/>
              <w:rPr>
                <w:color w:val="000000"/>
                <w:sz w:val="20"/>
                <w:szCs w:val="20"/>
                <w:lang w:val="en-GB"/>
              </w:rPr>
            </w:pPr>
            <w:r w:rsidRPr="00B27FE6">
              <w:rPr>
                <w:color w:val="000000"/>
                <w:sz w:val="20"/>
                <w:szCs w:val="20"/>
                <w:lang w:val="en-GB"/>
              </w:rPr>
              <w:t>-0.0140</w:t>
            </w:r>
          </w:p>
        </w:tc>
        <w:tc>
          <w:tcPr>
            <w:tcW w:w="1276" w:type="dxa"/>
            <w:tcBorders>
              <w:top w:val="nil"/>
              <w:left w:val="nil"/>
              <w:bottom w:val="single" w:sz="4" w:space="0" w:color="auto"/>
              <w:right w:val="single" w:sz="8" w:space="0" w:color="auto"/>
            </w:tcBorders>
            <w:shd w:val="clear" w:color="auto" w:fill="auto"/>
            <w:vAlign w:val="center"/>
            <w:hideMark/>
          </w:tcPr>
          <w:p w14:paraId="2370F74F" w14:textId="77777777" w:rsidR="00186CE3" w:rsidRPr="00B27FE6" w:rsidRDefault="00186CE3" w:rsidP="00E8795E">
            <w:pPr>
              <w:jc w:val="center"/>
              <w:rPr>
                <w:color w:val="000000"/>
                <w:sz w:val="20"/>
                <w:szCs w:val="20"/>
                <w:lang w:val="en-GB"/>
              </w:rPr>
            </w:pPr>
            <w:r w:rsidRPr="00B27FE6">
              <w:rPr>
                <w:color w:val="000000"/>
                <w:sz w:val="20"/>
                <w:szCs w:val="20"/>
                <w:lang w:val="en-GB"/>
              </w:rPr>
              <w:t>0.0485***</w:t>
            </w:r>
          </w:p>
        </w:tc>
      </w:tr>
      <w:tr w:rsidR="00186CE3" w:rsidRPr="00B27FE6" w14:paraId="39909CEE" w14:textId="77777777" w:rsidTr="00E8795E">
        <w:trPr>
          <w:trHeight w:val="183"/>
          <w:jc w:val="center"/>
        </w:trPr>
        <w:tc>
          <w:tcPr>
            <w:tcW w:w="1547" w:type="dxa"/>
            <w:tcBorders>
              <w:top w:val="nil"/>
              <w:left w:val="single" w:sz="8" w:space="0" w:color="auto"/>
              <w:bottom w:val="single" w:sz="4" w:space="0" w:color="auto"/>
              <w:right w:val="single" w:sz="8" w:space="0" w:color="auto"/>
            </w:tcBorders>
            <w:shd w:val="clear" w:color="000000" w:fill="D9D9D9"/>
            <w:noWrap/>
            <w:vAlign w:val="center"/>
            <w:hideMark/>
          </w:tcPr>
          <w:p w14:paraId="1C91C97C" w14:textId="77777777" w:rsidR="00186CE3" w:rsidRPr="00B27FE6" w:rsidRDefault="00186CE3" w:rsidP="00E8795E">
            <w:pPr>
              <w:jc w:val="center"/>
              <w:rPr>
                <w:color w:val="000000"/>
                <w:sz w:val="20"/>
                <w:szCs w:val="20"/>
                <w:lang w:val="en-GB"/>
              </w:rPr>
            </w:pPr>
            <w:r w:rsidRPr="00B27FE6">
              <w:rPr>
                <w:color w:val="000000"/>
                <w:sz w:val="20"/>
                <w:szCs w:val="20"/>
                <w:lang w:val="en-GB"/>
              </w:rPr>
              <w:t>2009</w:t>
            </w:r>
          </w:p>
        </w:tc>
        <w:tc>
          <w:tcPr>
            <w:tcW w:w="1129" w:type="dxa"/>
            <w:tcBorders>
              <w:top w:val="nil"/>
              <w:left w:val="nil"/>
              <w:bottom w:val="single" w:sz="4" w:space="0" w:color="auto"/>
              <w:right w:val="single" w:sz="4" w:space="0" w:color="auto"/>
            </w:tcBorders>
            <w:shd w:val="clear" w:color="auto" w:fill="auto"/>
            <w:vAlign w:val="center"/>
            <w:hideMark/>
          </w:tcPr>
          <w:p w14:paraId="1FEB5E4F" w14:textId="77777777" w:rsidR="00186CE3" w:rsidRPr="00B27FE6" w:rsidRDefault="00186CE3" w:rsidP="00E8795E">
            <w:pPr>
              <w:jc w:val="center"/>
              <w:rPr>
                <w:color w:val="000000"/>
                <w:sz w:val="20"/>
                <w:szCs w:val="20"/>
                <w:lang w:val="en-GB"/>
              </w:rPr>
            </w:pPr>
            <w:r w:rsidRPr="00B27FE6">
              <w:rPr>
                <w:color w:val="000000"/>
                <w:sz w:val="20"/>
                <w:szCs w:val="20"/>
                <w:lang w:val="en-GB"/>
              </w:rPr>
              <w:t>-0.00611</w:t>
            </w:r>
          </w:p>
        </w:tc>
        <w:tc>
          <w:tcPr>
            <w:tcW w:w="1235" w:type="dxa"/>
            <w:tcBorders>
              <w:top w:val="nil"/>
              <w:left w:val="nil"/>
              <w:bottom w:val="single" w:sz="4" w:space="0" w:color="auto"/>
              <w:right w:val="single" w:sz="4" w:space="0" w:color="auto"/>
            </w:tcBorders>
            <w:shd w:val="clear" w:color="auto" w:fill="auto"/>
            <w:vAlign w:val="center"/>
            <w:hideMark/>
          </w:tcPr>
          <w:p w14:paraId="238DC262" w14:textId="77777777" w:rsidR="00186CE3" w:rsidRPr="00B27FE6" w:rsidRDefault="00186CE3" w:rsidP="00E8795E">
            <w:pPr>
              <w:jc w:val="center"/>
              <w:rPr>
                <w:color w:val="000000"/>
                <w:sz w:val="20"/>
                <w:szCs w:val="20"/>
                <w:lang w:val="en-GB"/>
              </w:rPr>
            </w:pPr>
            <w:r w:rsidRPr="00B27FE6">
              <w:rPr>
                <w:color w:val="000000"/>
                <w:sz w:val="20"/>
                <w:szCs w:val="20"/>
                <w:lang w:val="en-GB"/>
              </w:rPr>
              <w:t>-0.0082***</w:t>
            </w:r>
          </w:p>
        </w:tc>
        <w:tc>
          <w:tcPr>
            <w:tcW w:w="1235" w:type="dxa"/>
            <w:tcBorders>
              <w:top w:val="nil"/>
              <w:left w:val="nil"/>
              <w:bottom w:val="single" w:sz="4" w:space="0" w:color="auto"/>
              <w:right w:val="single" w:sz="4" w:space="0" w:color="auto"/>
            </w:tcBorders>
            <w:shd w:val="clear" w:color="auto" w:fill="auto"/>
            <w:vAlign w:val="center"/>
            <w:hideMark/>
          </w:tcPr>
          <w:p w14:paraId="10670099" w14:textId="77777777" w:rsidR="00186CE3" w:rsidRPr="00B27FE6" w:rsidRDefault="00186CE3" w:rsidP="00E8795E">
            <w:pPr>
              <w:jc w:val="center"/>
              <w:rPr>
                <w:color w:val="000000"/>
                <w:sz w:val="20"/>
                <w:szCs w:val="20"/>
                <w:lang w:val="en-GB"/>
              </w:rPr>
            </w:pPr>
            <w:r w:rsidRPr="00B27FE6">
              <w:rPr>
                <w:color w:val="000000"/>
                <w:sz w:val="20"/>
                <w:szCs w:val="20"/>
                <w:lang w:val="en-GB"/>
              </w:rPr>
              <w:t>0.0197***</w:t>
            </w:r>
          </w:p>
        </w:tc>
        <w:tc>
          <w:tcPr>
            <w:tcW w:w="1129" w:type="dxa"/>
            <w:tcBorders>
              <w:top w:val="nil"/>
              <w:left w:val="nil"/>
              <w:bottom w:val="single" w:sz="4" w:space="0" w:color="auto"/>
              <w:right w:val="single" w:sz="4" w:space="0" w:color="auto"/>
            </w:tcBorders>
            <w:shd w:val="clear" w:color="auto" w:fill="auto"/>
            <w:vAlign w:val="center"/>
            <w:hideMark/>
          </w:tcPr>
          <w:p w14:paraId="5A8E9CA3" w14:textId="77777777" w:rsidR="00186CE3" w:rsidRPr="00B27FE6" w:rsidRDefault="00186CE3" w:rsidP="00E8795E">
            <w:pPr>
              <w:jc w:val="center"/>
              <w:rPr>
                <w:color w:val="000000"/>
                <w:sz w:val="20"/>
                <w:szCs w:val="20"/>
                <w:lang w:val="en-GB"/>
              </w:rPr>
            </w:pPr>
            <w:r w:rsidRPr="00B27FE6">
              <w:rPr>
                <w:color w:val="000000"/>
                <w:sz w:val="20"/>
                <w:szCs w:val="20"/>
                <w:lang w:val="en-GB"/>
              </w:rPr>
              <w:t>0.0900**</w:t>
            </w:r>
          </w:p>
        </w:tc>
        <w:tc>
          <w:tcPr>
            <w:tcW w:w="1097" w:type="dxa"/>
            <w:tcBorders>
              <w:top w:val="nil"/>
              <w:left w:val="nil"/>
              <w:bottom w:val="single" w:sz="4" w:space="0" w:color="auto"/>
              <w:right w:val="single" w:sz="4" w:space="0" w:color="auto"/>
            </w:tcBorders>
            <w:shd w:val="clear" w:color="auto" w:fill="auto"/>
            <w:vAlign w:val="center"/>
            <w:hideMark/>
          </w:tcPr>
          <w:p w14:paraId="2C1BF5C1" w14:textId="77777777" w:rsidR="00186CE3" w:rsidRPr="00B27FE6" w:rsidRDefault="00186CE3" w:rsidP="00E8795E">
            <w:pPr>
              <w:jc w:val="center"/>
              <w:rPr>
                <w:color w:val="000000"/>
                <w:sz w:val="20"/>
                <w:szCs w:val="20"/>
                <w:lang w:val="en-GB"/>
              </w:rPr>
            </w:pPr>
            <w:r w:rsidRPr="00B27FE6">
              <w:rPr>
                <w:color w:val="000000"/>
                <w:sz w:val="20"/>
                <w:szCs w:val="20"/>
                <w:lang w:val="en-GB"/>
              </w:rPr>
              <w:t>-0.0196**</w:t>
            </w:r>
          </w:p>
        </w:tc>
        <w:tc>
          <w:tcPr>
            <w:tcW w:w="1276" w:type="dxa"/>
            <w:tcBorders>
              <w:top w:val="nil"/>
              <w:left w:val="nil"/>
              <w:bottom w:val="single" w:sz="4" w:space="0" w:color="auto"/>
              <w:right w:val="single" w:sz="8" w:space="0" w:color="auto"/>
            </w:tcBorders>
            <w:shd w:val="clear" w:color="auto" w:fill="auto"/>
            <w:vAlign w:val="center"/>
            <w:hideMark/>
          </w:tcPr>
          <w:p w14:paraId="47AFAD1A" w14:textId="77777777" w:rsidR="00186CE3" w:rsidRPr="00B27FE6" w:rsidRDefault="00186CE3" w:rsidP="00E8795E">
            <w:pPr>
              <w:jc w:val="center"/>
              <w:rPr>
                <w:color w:val="000000"/>
                <w:sz w:val="20"/>
                <w:szCs w:val="20"/>
                <w:lang w:val="en-GB"/>
              </w:rPr>
            </w:pPr>
            <w:r w:rsidRPr="00B27FE6">
              <w:rPr>
                <w:color w:val="000000"/>
                <w:sz w:val="20"/>
                <w:szCs w:val="20"/>
                <w:lang w:val="en-GB"/>
              </w:rPr>
              <w:t>-0.00293</w:t>
            </w:r>
          </w:p>
        </w:tc>
      </w:tr>
      <w:tr w:rsidR="00186CE3" w:rsidRPr="00B27FE6" w14:paraId="0805769A" w14:textId="77777777" w:rsidTr="00E8795E">
        <w:trPr>
          <w:trHeight w:val="183"/>
          <w:jc w:val="center"/>
        </w:trPr>
        <w:tc>
          <w:tcPr>
            <w:tcW w:w="1547" w:type="dxa"/>
            <w:tcBorders>
              <w:top w:val="nil"/>
              <w:left w:val="single" w:sz="8" w:space="0" w:color="auto"/>
              <w:bottom w:val="single" w:sz="4" w:space="0" w:color="auto"/>
              <w:right w:val="single" w:sz="8" w:space="0" w:color="auto"/>
            </w:tcBorders>
            <w:shd w:val="clear" w:color="000000" w:fill="D9D9D9"/>
            <w:noWrap/>
            <w:vAlign w:val="center"/>
            <w:hideMark/>
          </w:tcPr>
          <w:p w14:paraId="7BE1322B" w14:textId="77777777" w:rsidR="00186CE3" w:rsidRPr="00B27FE6" w:rsidRDefault="00186CE3" w:rsidP="00E8795E">
            <w:pPr>
              <w:jc w:val="center"/>
              <w:rPr>
                <w:color w:val="000000"/>
                <w:sz w:val="20"/>
                <w:szCs w:val="20"/>
                <w:lang w:val="en-GB"/>
              </w:rPr>
            </w:pPr>
            <w:r w:rsidRPr="00B27FE6">
              <w:rPr>
                <w:color w:val="000000"/>
                <w:sz w:val="20"/>
                <w:szCs w:val="20"/>
                <w:lang w:val="en-GB"/>
              </w:rPr>
              <w:t>2010</w:t>
            </w:r>
          </w:p>
        </w:tc>
        <w:tc>
          <w:tcPr>
            <w:tcW w:w="1129" w:type="dxa"/>
            <w:tcBorders>
              <w:top w:val="nil"/>
              <w:left w:val="nil"/>
              <w:bottom w:val="single" w:sz="4" w:space="0" w:color="auto"/>
              <w:right w:val="single" w:sz="4" w:space="0" w:color="auto"/>
            </w:tcBorders>
            <w:shd w:val="clear" w:color="auto" w:fill="auto"/>
            <w:vAlign w:val="center"/>
            <w:hideMark/>
          </w:tcPr>
          <w:p w14:paraId="094EA86A" w14:textId="77777777" w:rsidR="00186CE3" w:rsidRPr="00B27FE6" w:rsidRDefault="00186CE3" w:rsidP="00E8795E">
            <w:pPr>
              <w:jc w:val="center"/>
              <w:rPr>
                <w:color w:val="000000"/>
                <w:sz w:val="20"/>
                <w:szCs w:val="20"/>
                <w:lang w:val="en-GB"/>
              </w:rPr>
            </w:pPr>
            <w:r w:rsidRPr="00B27FE6">
              <w:rPr>
                <w:color w:val="000000"/>
                <w:sz w:val="20"/>
                <w:szCs w:val="20"/>
                <w:lang w:val="en-GB"/>
              </w:rPr>
              <w:t>-0.0226*</w:t>
            </w:r>
          </w:p>
        </w:tc>
        <w:tc>
          <w:tcPr>
            <w:tcW w:w="1235" w:type="dxa"/>
            <w:tcBorders>
              <w:top w:val="nil"/>
              <w:left w:val="nil"/>
              <w:bottom w:val="single" w:sz="4" w:space="0" w:color="auto"/>
              <w:right w:val="single" w:sz="4" w:space="0" w:color="auto"/>
            </w:tcBorders>
            <w:shd w:val="clear" w:color="auto" w:fill="auto"/>
            <w:vAlign w:val="center"/>
            <w:hideMark/>
          </w:tcPr>
          <w:p w14:paraId="299FA9AD" w14:textId="77777777" w:rsidR="00186CE3" w:rsidRPr="00B27FE6" w:rsidRDefault="00186CE3" w:rsidP="00E8795E">
            <w:pPr>
              <w:jc w:val="center"/>
              <w:rPr>
                <w:color w:val="000000"/>
                <w:sz w:val="20"/>
                <w:szCs w:val="20"/>
                <w:lang w:val="en-GB"/>
              </w:rPr>
            </w:pPr>
            <w:r w:rsidRPr="00B27FE6">
              <w:rPr>
                <w:color w:val="000000"/>
                <w:sz w:val="20"/>
                <w:szCs w:val="20"/>
                <w:lang w:val="en-GB"/>
              </w:rPr>
              <w:t>-0.0124***</w:t>
            </w:r>
          </w:p>
        </w:tc>
        <w:tc>
          <w:tcPr>
            <w:tcW w:w="1235" w:type="dxa"/>
            <w:tcBorders>
              <w:top w:val="nil"/>
              <w:left w:val="nil"/>
              <w:bottom w:val="single" w:sz="4" w:space="0" w:color="auto"/>
              <w:right w:val="single" w:sz="4" w:space="0" w:color="auto"/>
            </w:tcBorders>
            <w:shd w:val="clear" w:color="auto" w:fill="auto"/>
            <w:vAlign w:val="center"/>
            <w:hideMark/>
          </w:tcPr>
          <w:p w14:paraId="6D3D0A0B" w14:textId="77777777" w:rsidR="00186CE3" w:rsidRPr="00B27FE6" w:rsidRDefault="00186CE3" w:rsidP="00E8795E">
            <w:pPr>
              <w:jc w:val="center"/>
              <w:rPr>
                <w:color w:val="000000"/>
                <w:sz w:val="20"/>
                <w:szCs w:val="20"/>
                <w:lang w:val="en-GB"/>
              </w:rPr>
            </w:pPr>
            <w:r w:rsidRPr="00B27FE6">
              <w:rPr>
                <w:color w:val="000000"/>
                <w:sz w:val="20"/>
                <w:szCs w:val="20"/>
                <w:lang w:val="en-GB"/>
              </w:rPr>
              <w:t>0.0284***</w:t>
            </w:r>
          </w:p>
        </w:tc>
        <w:tc>
          <w:tcPr>
            <w:tcW w:w="1129" w:type="dxa"/>
            <w:tcBorders>
              <w:top w:val="nil"/>
              <w:left w:val="nil"/>
              <w:bottom w:val="single" w:sz="4" w:space="0" w:color="auto"/>
              <w:right w:val="single" w:sz="4" w:space="0" w:color="auto"/>
            </w:tcBorders>
            <w:shd w:val="clear" w:color="auto" w:fill="auto"/>
            <w:vAlign w:val="center"/>
            <w:hideMark/>
          </w:tcPr>
          <w:p w14:paraId="59B72AAD" w14:textId="77777777" w:rsidR="00186CE3" w:rsidRPr="00B27FE6" w:rsidRDefault="00186CE3" w:rsidP="00E8795E">
            <w:pPr>
              <w:jc w:val="center"/>
              <w:rPr>
                <w:color w:val="000000"/>
                <w:sz w:val="20"/>
                <w:szCs w:val="20"/>
                <w:lang w:val="en-GB"/>
              </w:rPr>
            </w:pPr>
            <w:r w:rsidRPr="00B27FE6">
              <w:rPr>
                <w:color w:val="000000"/>
                <w:sz w:val="20"/>
                <w:szCs w:val="20"/>
                <w:lang w:val="en-GB"/>
              </w:rPr>
              <w:t>0.0956**</w:t>
            </w:r>
          </w:p>
        </w:tc>
        <w:tc>
          <w:tcPr>
            <w:tcW w:w="1097" w:type="dxa"/>
            <w:tcBorders>
              <w:top w:val="nil"/>
              <w:left w:val="nil"/>
              <w:bottom w:val="single" w:sz="4" w:space="0" w:color="auto"/>
              <w:right w:val="single" w:sz="4" w:space="0" w:color="auto"/>
            </w:tcBorders>
            <w:shd w:val="clear" w:color="auto" w:fill="auto"/>
            <w:vAlign w:val="center"/>
            <w:hideMark/>
          </w:tcPr>
          <w:p w14:paraId="62ED113A" w14:textId="77777777" w:rsidR="00186CE3" w:rsidRPr="00B27FE6" w:rsidRDefault="00186CE3" w:rsidP="00E8795E">
            <w:pPr>
              <w:jc w:val="center"/>
              <w:rPr>
                <w:color w:val="000000"/>
                <w:sz w:val="20"/>
                <w:szCs w:val="20"/>
                <w:lang w:val="en-GB"/>
              </w:rPr>
            </w:pPr>
            <w:r w:rsidRPr="00B27FE6">
              <w:rPr>
                <w:color w:val="000000"/>
                <w:sz w:val="20"/>
                <w:szCs w:val="20"/>
                <w:lang w:val="en-GB"/>
              </w:rPr>
              <w:t>-0.037***</w:t>
            </w:r>
          </w:p>
        </w:tc>
        <w:tc>
          <w:tcPr>
            <w:tcW w:w="1276" w:type="dxa"/>
            <w:tcBorders>
              <w:top w:val="nil"/>
              <w:left w:val="nil"/>
              <w:bottom w:val="single" w:sz="4" w:space="0" w:color="auto"/>
              <w:right w:val="single" w:sz="8" w:space="0" w:color="auto"/>
            </w:tcBorders>
            <w:shd w:val="clear" w:color="auto" w:fill="auto"/>
            <w:vAlign w:val="center"/>
            <w:hideMark/>
          </w:tcPr>
          <w:p w14:paraId="3BBACADE" w14:textId="77777777" w:rsidR="00186CE3" w:rsidRPr="00B27FE6" w:rsidRDefault="00186CE3" w:rsidP="00E8795E">
            <w:pPr>
              <w:jc w:val="center"/>
              <w:rPr>
                <w:color w:val="000000"/>
                <w:sz w:val="20"/>
                <w:szCs w:val="20"/>
                <w:lang w:val="en-GB"/>
              </w:rPr>
            </w:pPr>
            <w:r w:rsidRPr="00B27FE6">
              <w:rPr>
                <w:color w:val="000000"/>
                <w:sz w:val="20"/>
                <w:szCs w:val="20"/>
                <w:lang w:val="en-GB"/>
              </w:rPr>
              <w:t>0.0431**</w:t>
            </w:r>
          </w:p>
        </w:tc>
      </w:tr>
      <w:tr w:rsidR="00186CE3" w:rsidRPr="00B27FE6" w14:paraId="39056182" w14:textId="77777777" w:rsidTr="00E8795E">
        <w:trPr>
          <w:trHeight w:val="183"/>
          <w:jc w:val="center"/>
        </w:trPr>
        <w:tc>
          <w:tcPr>
            <w:tcW w:w="1547" w:type="dxa"/>
            <w:tcBorders>
              <w:top w:val="nil"/>
              <w:left w:val="single" w:sz="8" w:space="0" w:color="auto"/>
              <w:bottom w:val="single" w:sz="4" w:space="0" w:color="auto"/>
              <w:right w:val="single" w:sz="8" w:space="0" w:color="auto"/>
            </w:tcBorders>
            <w:shd w:val="clear" w:color="000000" w:fill="D9D9D9"/>
            <w:noWrap/>
            <w:vAlign w:val="center"/>
            <w:hideMark/>
          </w:tcPr>
          <w:p w14:paraId="54A39E27" w14:textId="77777777" w:rsidR="00186CE3" w:rsidRPr="00B27FE6" w:rsidRDefault="00186CE3" w:rsidP="00E8795E">
            <w:pPr>
              <w:jc w:val="center"/>
              <w:rPr>
                <w:color w:val="000000"/>
                <w:sz w:val="20"/>
                <w:szCs w:val="20"/>
                <w:lang w:val="en-GB"/>
              </w:rPr>
            </w:pPr>
            <w:r w:rsidRPr="00B27FE6">
              <w:rPr>
                <w:color w:val="000000"/>
                <w:sz w:val="20"/>
                <w:szCs w:val="20"/>
                <w:lang w:val="en-GB"/>
              </w:rPr>
              <w:t>2011</w:t>
            </w:r>
          </w:p>
        </w:tc>
        <w:tc>
          <w:tcPr>
            <w:tcW w:w="1129" w:type="dxa"/>
            <w:tcBorders>
              <w:top w:val="nil"/>
              <w:left w:val="nil"/>
              <w:bottom w:val="single" w:sz="4" w:space="0" w:color="auto"/>
              <w:right w:val="single" w:sz="4" w:space="0" w:color="auto"/>
            </w:tcBorders>
            <w:shd w:val="clear" w:color="auto" w:fill="auto"/>
            <w:vAlign w:val="center"/>
            <w:hideMark/>
          </w:tcPr>
          <w:p w14:paraId="23F71E74" w14:textId="77777777" w:rsidR="00186CE3" w:rsidRPr="00B27FE6" w:rsidRDefault="00186CE3" w:rsidP="00E8795E">
            <w:pPr>
              <w:jc w:val="center"/>
              <w:rPr>
                <w:color w:val="000000"/>
                <w:sz w:val="20"/>
                <w:szCs w:val="20"/>
                <w:lang w:val="en-GB"/>
              </w:rPr>
            </w:pPr>
            <w:r w:rsidRPr="00B27FE6">
              <w:rPr>
                <w:color w:val="000000"/>
                <w:sz w:val="20"/>
                <w:szCs w:val="20"/>
                <w:lang w:val="en-GB"/>
              </w:rPr>
              <w:t>-0.0299**</w:t>
            </w:r>
          </w:p>
        </w:tc>
        <w:tc>
          <w:tcPr>
            <w:tcW w:w="1235" w:type="dxa"/>
            <w:tcBorders>
              <w:top w:val="nil"/>
              <w:left w:val="nil"/>
              <w:bottom w:val="single" w:sz="4" w:space="0" w:color="auto"/>
              <w:right w:val="single" w:sz="4" w:space="0" w:color="auto"/>
            </w:tcBorders>
            <w:shd w:val="clear" w:color="auto" w:fill="auto"/>
            <w:vAlign w:val="center"/>
            <w:hideMark/>
          </w:tcPr>
          <w:p w14:paraId="5A580B46" w14:textId="77777777" w:rsidR="00186CE3" w:rsidRPr="00B27FE6" w:rsidRDefault="00186CE3" w:rsidP="00E8795E">
            <w:pPr>
              <w:jc w:val="center"/>
              <w:rPr>
                <w:color w:val="000000"/>
                <w:sz w:val="20"/>
                <w:szCs w:val="20"/>
                <w:lang w:val="en-GB"/>
              </w:rPr>
            </w:pPr>
            <w:r w:rsidRPr="00B27FE6">
              <w:rPr>
                <w:color w:val="000000"/>
                <w:sz w:val="20"/>
                <w:szCs w:val="20"/>
                <w:lang w:val="en-GB"/>
              </w:rPr>
              <w:t>-0.0148***</w:t>
            </w:r>
          </w:p>
        </w:tc>
        <w:tc>
          <w:tcPr>
            <w:tcW w:w="1235" w:type="dxa"/>
            <w:tcBorders>
              <w:top w:val="nil"/>
              <w:left w:val="nil"/>
              <w:bottom w:val="single" w:sz="4" w:space="0" w:color="auto"/>
              <w:right w:val="single" w:sz="4" w:space="0" w:color="auto"/>
            </w:tcBorders>
            <w:shd w:val="clear" w:color="auto" w:fill="auto"/>
            <w:vAlign w:val="center"/>
            <w:hideMark/>
          </w:tcPr>
          <w:p w14:paraId="7EB5730A" w14:textId="77777777" w:rsidR="00186CE3" w:rsidRPr="00B27FE6" w:rsidRDefault="00186CE3" w:rsidP="00E8795E">
            <w:pPr>
              <w:jc w:val="center"/>
              <w:rPr>
                <w:color w:val="000000"/>
                <w:sz w:val="20"/>
                <w:szCs w:val="20"/>
                <w:lang w:val="en-GB"/>
              </w:rPr>
            </w:pPr>
            <w:r w:rsidRPr="00B27FE6">
              <w:rPr>
                <w:color w:val="000000"/>
                <w:sz w:val="20"/>
                <w:szCs w:val="20"/>
                <w:lang w:val="en-GB"/>
              </w:rPr>
              <w:t>0.0312***</w:t>
            </w:r>
          </w:p>
        </w:tc>
        <w:tc>
          <w:tcPr>
            <w:tcW w:w="1129" w:type="dxa"/>
            <w:tcBorders>
              <w:top w:val="nil"/>
              <w:left w:val="nil"/>
              <w:bottom w:val="single" w:sz="4" w:space="0" w:color="auto"/>
              <w:right w:val="single" w:sz="4" w:space="0" w:color="auto"/>
            </w:tcBorders>
            <w:shd w:val="clear" w:color="auto" w:fill="auto"/>
            <w:vAlign w:val="center"/>
            <w:hideMark/>
          </w:tcPr>
          <w:p w14:paraId="120B3515" w14:textId="77777777" w:rsidR="00186CE3" w:rsidRPr="00B27FE6" w:rsidRDefault="00186CE3" w:rsidP="00E8795E">
            <w:pPr>
              <w:jc w:val="center"/>
              <w:rPr>
                <w:color w:val="000000"/>
                <w:sz w:val="20"/>
                <w:szCs w:val="20"/>
                <w:lang w:val="en-GB"/>
              </w:rPr>
            </w:pPr>
            <w:r w:rsidRPr="00B27FE6">
              <w:rPr>
                <w:color w:val="000000"/>
                <w:sz w:val="20"/>
                <w:szCs w:val="20"/>
                <w:lang w:val="en-GB"/>
              </w:rPr>
              <w:t>0.128***</w:t>
            </w:r>
          </w:p>
        </w:tc>
        <w:tc>
          <w:tcPr>
            <w:tcW w:w="1097" w:type="dxa"/>
            <w:tcBorders>
              <w:top w:val="nil"/>
              <w:left w:val="nil"/>
              <w:bottom w:val="single" w:sz="4" w:space="0" w:color="auto"/>
              <w:right w:val="single" w:sz="4" w:space="0" w:color="auto"/>
            </w:tcBorders>
            <w:shd w:val="clear" w:color="auto" w:fill="auto"/>
            <w:vAlign w:val="center"/>
            <w:hideMark/>
          </w:tcPr>
          <w:p w14:paraId="53001037" w14:textId="77777777" w:rsidR="00186CE3" w:rsidRPr="00B27FE6" w:rsidRDefault="00186CE3" w:rsidP="00E8795E">
            <w:pPr>
              <w:jc w:val="center"/>
              <w:rPr>
                <w:color w:val="000000"/>
                <w:sz w:val="20"/>
                <w:szCs w:val="20"/>
                <w:lang w:val="en-GB"/>
              </w:rPr>
            </w:pPr>
            <w:r w:rsidRPr="00B27FE6">
              <w:rPr>
                <w:color w:val="000000"/>
                <w:sz w:val="20"/>
                <w:szCs w:val="20"/>
                <w:lang w:val="en-GB"/>
              </w:rPr>
              <w:t>-0.051***</w:t>
            </w:r>
          </w:p>
        </w:tc>
        <w:tc>
          <w:tcPr>
            <w:tcW w:w="1276" w:type="dxa"/>
            <w:tcBorders>
              <w:top w:val="nil"/>
              <w:left w:val="nil"/>
              <w:bottom w:val="single" w:sz="4" w:space="0" w:color="auto"/>
              <w:right w:val="single" w:sz="8" w:space="0" w:color="auto"/>
            </w:tcBorders>
            <w:shd w:val="clear" w:color="auto" w:fill="auto"/>
            <w:vAlign w:val="center"/>
            <w:hideMark/>
          </w:tcPr>
          <w:p w14:paraId="447AE08D" w14:textId="77777777" w:rsidR="00186CE3" w:rsidRPr="00B27FE6" w:rsidRDefault="00186CE3" w:rsidP="00E8795E">
            <w:pPr>
              <w:jc w:val="center"/>
              <w:rPr>
                <w:color w:val="000000"/>
                <w:sz w:val="20"/>
                <w:szCs w:val="20"/>
                <w:lang w:val="en-GB"/>
              </w:rPr>
            </w:pPr>
            <w:r w:rsidRPr="00B27FE6">
              <w:rPr>
                <w:color w:val="000000"/>
                <w:sz w:val="20"/>
                <w:szCs w:val="20"/>
                <w:lang w:val="en-GB"/>
              </w:rPr>
              <w:t>0.0627***</w:t>
            </w:r>
          </w:p>
        </w:tc>
      </w:tr>
      <w:tr w:rsidR="00186CE3" w:rsidRPr="00B27FE6" w14:paraId="1703BC41" w14:textId="77777777" w:rsidTr="00E8795E">
        <w:trPr>
          <w:trHeight w:val="183"/>
          <w:jc w:val="center"/>
        </w:trPr>
        <w:tc>
          <w:tcPr>
            <w:tcW w:w="1547" w:type="dxa"/>
            <w:tcBorders>
              <w:top w:val="nil"/>
              <w:left w:val="single" w:sz="8" w:space="0" w:color="auto"/>
              <w:bottom w:val="single" w:sz="4" w:space="0" w:color="auto"/>
              <w:right w:val="single" w:sz="8" w:space="0" w:color="auto"/>
            </w:tcBorders>
            <w:shd w:val="clear" w:color="000000" w:fill="D9D9D9"/>
            <w:noWrap/>
            <w:vAlign w:val="center"/>
            <w:hideMark/>
          </w:tcPr>
          <w:p w14:paraId="1E7A7B5D" w14:textId="77777777" w:rsidR="00186CE3" w:rsidRPr="00B27FE6" w:rsidRDefault="00186CE3" w:rsidP="00E8795E">
            <w:pPr>
              <w:jc w:val="center"/>
              <w:rPr>
                <w:color w:val="000000"/>
                <w:sz w:val="20"/>
                <w:szCs w:val="20"/>
                <w:lang w:val="en-GB"/>
              </w:rPr>
            </w:pPr>
            <w:r w:rsidRPr="00B27FE6">
              <w:rPr>
                <w:color w:val="000000"/>
                <w:sz w:val="20"/>
                <w:szCs w:val="20"/>
                <w:lang w:val="en-GB"/>
              </w:rPr>
              <w:t>2012</w:t>
            </w:r>
          </w:p>
        </w:tc>
        <w:tc>
          <w:tcPr>
            <w:tcW w:w="1129" w:type="dxa"/>
            <w:tcBorders>
              <w:top w:val="nil"/>
              <w:left w:val="nil"/>
              <w:bottom w:val="single" w:sz="4" w:space="0" w:color="auto"/>
              <w:right w:val="single" w:sz="4" w:space="0" w:color="auto"/>
            </w:tcBorders>
            <w:shd w:val="clear" w:color="auto" w:fill="auto"/>
            <w:vAlign w:val="center"/>
            <w:hideMark/>
          </w:tcPr>
          <w:p w14:paraId="5BDB6F08" w14:textId="77777777" w:rsidR="00186CE3" w:rsidRPr="00B27FE6" w:rsidRDefault="00186CE3" w:rsidP="00E8795E">
            <w:pPr>
              <w:jc w:val="center"/>
              <w:rPr>
                <w:color w:val="000000"/>
                <w:sz w:val="20"/>
                <w:szCs w:val="20"/>
                <w:lang w:val="en-GB"/>
              </w:rPr>
            </w:pPr>
            <w:r w:rsidRPr="00B27FE6">
              <w:rPr>
                <w:color w:val="000000"/>
                <w:sz w:val="20"/>
                <w:szCs w:val="20"/>
                <w:lang w:val="en-GB"/>
              </w:rPr>
              <w:t>-0.0254*</w:t>
            </w:r>
          </w:p>
        </w:tc>
        <w:tc>
          <w:tcPr>
            <w:tcW w:w="1235" w:type="dxa"/>
            <w:tcBorders>
              <w:top w:val="nil"/>
              <w:left w:val="nil"/>
              <w:bottom w:val="single" w:sz="4" w:space="0" w:color="auto"/>
              <w:right w:val="single" w:sz="4" w:space="0" w:color="auto"/>
            </w:tcBorders>
            <w:shd w:val="clear" w:color="auto" w:fill="auto"/>
            <w:vAlign w:val="center"/>
            <w:hideMark/>
          </w:tcPr>
          <w:p w14:paraId="0C3F745B" w14:textId="77777777" w:rsidR="00186CE3" w:rsidRPr="00B27FE6" w:rsidRDefault="00186CE3" w:rsidP="00E8795E">
            <w:pPr>
              <w:jc w:val="center"/>
              <w:rPr>
                <w:color w:val="000000"/>
                <w:sz w:val="20"/>
                <w:szCs w:val="20"/>
                <w:lang w:val="en-GB"/>
              </w:rPr>
            </w:pPr>
            <w:r w:rsidRPr="00B27FE6">
              <w:rPr>
                <w:color w:val="000000"/>
                <w:sz w:val="20"/>
                <w:szCs w:val="20"/>
                <w:lang w:val="en-GB"/>
              </w:rPr>
              <w:t>-0.0164***</w:t>
            </w:r>
          </w:p>
        </w:tc>
        <w:tc>
          <w:tcPr>
            <w:tcW w:w="1235" w:type="dxa"/>
            <w:tcBorders>
              <w:top w:val="nil"/>
              <w:left w:val="nil"/>
              <w:bottom w:val="single" w:sz="4" w:space="0" w:color="auto"/>
              <w:right w:val="single" w:sz="4" w:space="0" w:color="auto"/>
            </w:tcBorders>
            <w:shd w:val="clear" w:color="auto" w:fill="auto"/>
            <w:vAlign w:val="center"/>
            <w:hideMark/>
          </w:tcPr>
          <w:p w14:paraId="795F707E" w14:textId="77777777" w:rsidR="00186CE3" w:rsidRPr="00B27FE6" w:rsidRDefault="00186CE3" w:rsidP="00E8795E">
            <w:pPr>
              <w:jc w:val="center"/>
              <w:rPr>
                <w:color w:val="000000"/>
                <w:sz w:val="20"/>
                <w:szCs w:val="20"/>
                <w:lang w:val="en-GB"/>
              </w:rPr>
            </w:pPr>
            <w:r w:rsidRPr="00B27FE6">
              <w:rPr>
                <w:color w:val="000000"/>
                <w:sz w:val="20"/>
                <w:szCs w:val="20"/>
                <w:lang w:val="en-GB"/>
              </w:rPr>
              <w:t>0.0365***</w:t>
            </w:r>
          </w:p>
        </w:tc>
        <w:tc>
          <w:tcPr>
            <w:tcW w:w="1129" w:type="dxa"/>
            <w:tcBorders>
              <w:top w:val="nil"/>
              <w:left w:val="nil"/>
              <w:bottom w:val="single" w:sz="4" w:space="0" w:color="auto"/>
              <w:right w:val="single" w:sz="4" w:space="0" w:color="auto"/>
            </w:tcBorders>
            <w:shd w:val="clear" w:color="auto" w:fill="auto"/>
            <w:vAlign w:val="center"/>
            <w:hideMark/>
          </w:tcPr>
          <w:p w14:paraId="5D6B7CC5" w14:textId="77777777" w:rsidR="00186CE3" w:rsidRPr="00B27FE6" w:rsidRDefault="00186CE3" w:rsidP="00E8795E">
            <w:pPr>
              <w:jc w:val="center"/>
              <w:rPr>
                <w:color w:val="000000"/>
                <w:sz w:val="20"/>
                <w:szCs w:val="20"/>
                <w:lang w:val="en-GB"/>
              </w:rPr>
            </w:pPr>
            <w:r w:rsidRPr="00B27FE6">
              <w:rPr>
                <w:color w:val="000000"/>
                <w:sz w:val="20"/>
                <w:szCs w:val="20"/>
                <w:lang w:val="en-GB"/>
              </w:rPr>
              <w:t>0.194***</w:t>
            </w:r>
          </w:p>
        </w:tc>
        <w:tc>
          <w:tcPr>
            <w:tcW w:w="1097" w:type="dxa"/>
            <w:tcBorders>
              <w:top w:val="nil"/>
              <w:left w:val="nil"/>
              <w:bottom w:val="single" w:sz="4" w:space="0" w:color="auto"/>
              <w:right w:val="single" w:sz="4" w:space="0" w:color="auto"/>
            </w:tcBorders>
            <w:shd w:val="clear" w:color="auto" w:fill="auto"/>
            <w:vAlign w:val="center"/>
            <w:hideMark/>
          </w:tcPr>
          <w:p w14:paraId="7F9E7A16" w14:textId="77777777" w:rsidR="00186CE3" w:rsidRPr="00B27FE6" w:rsidRDefault="00186CE3" w:rsidP="00E8795E">
            <w:pPr>
              <w:jc w:val="center"/>
              <w:rPr>
                <w:color w:val="000000"/>
                <w:sz w:val="20"/>
                <w:szCs w:val="20"/>
                <w:lang w:val="en-GB"/>
              </w:rPr>
            </w:pPr>
            <w:r w:rsidRPr="00B27FE6">
              <w:rPr>
                <w:color w:val="000000"/>
                <w:sz w:val="20"/>
                <w:szCs w:val="20"/>
                <w:lang w:val="en-GB"/>
              </w:rPr>
              <w:t>-0.062***</w:t>
            </w:r>
          </w:p>
        </w:tc>
        <w:tc>
          <w:tcPr>
            <w:tcW w:w="1276" w:type="dxa"/>
            <w:tcBorders>
              <w:top w:val="nil"/>
              <w:left w:val="nil"/>
              <w:bottom w:val="single" w:sz="4" w:space="0" w:color="auto"/>
              <w:right w:val="single" w:sz="8" w:space="0" w:color="auto"/>
            </w:tcBorders>
            <w:shd w:val="clear" w:color="auto" w:fill="auto"/>
            <w:vAlign w:val="center"/>
            <w:hideMark/>
          </w:tcPr>
          <w:p w14:paraId="7DBEAD1A" w14:textId="77777777" w:rsidR="00186CE3" w:rsidRPr="00B27FE6" w:rsidRDefault="00186CE3" w:rsidP="00E8795E">
            <w:pPr>
              <w:jc w:val="center"/>
              <w:rPr>
                <w:color w:val="000000"/>
                <w:sz w:val="20"/>
                <w:szCs w:val="20"/>
                <w:lang w:val="en-GB"/>
              </w:rPr>
            </w:pPr>
            <w:r w:rsidRPr="00B27FE6">
              <w:rPr>
                <w:color w:val="000000"/>
                <w:sz w:val="20"/>
                <w:szCs w:val="20"/>
                <w:lang w:val="en-GB"/>
              </w:rPr>
              <w:t>0.0683***</w:t>
            </w:r>
          </w:p>
        </w:tc>
      </w:tr>
      <w:tr w:rsidR="00186CE3" w:rsidRPr="00B27FE6" w14:paraId="316AAE37" w14:textId="77777777" w:rsidTr="00E8795E">
        <w:trPr>
          <w:trHeight w:val="183"/>
          <w:jc w:val="center"/>
        </w:trPr>
        <w:tc>
          <w:tcPr>
            <w:tcW w:w="1547" w:type="dxa"/>
            <w:tcBorders>
              <w:top w:val="nil"/>
              <w:left w:val="single" w:sz="8" w:space="0" w:color="auto"/>
              <w:bottom w:val="single" w:sz="4" w:space="0" w:color="auto"/>
              <w:right w:val="single" w:sz="8" w:space="0" w:color="auto"/>
            </w:tcBorders>
            <w:shd w:val="clear" w:color="000000" w:fill="D9D9D9"/>
            <w:noWrap/>
            <w:vAlign w:val="center"/>
            <w:hideMark/>
          </w:tcPr>
          <w:p w14:paraId="0559BC32" w14:textId="77777777" w:rsidR="00186CE3" w:rsidRPr="00B27FE6" w:rsidRDefault="00186CE3" w:rsidP="00E8795E">
            <w:pPr>
              <w:jc w:val="center"/>
              <w:rPr>
                <w:color w:val="000000"/>
                <w:sz w:val="20"/>
                <w:szCs w:val="20"/>
                <w:lang w:val="en-GB"/>
              </w:rPr>
            </w:pPr>
            <w:r w:rsidRPr="00B27FE6">
              <w:rPr>
                <w:color w:val="000000"/>
                <w:sz w:val="20"/>
                <w:szCs w:val="20"/>
                <w:lang w:val="en-GB"/>
              </w:rPr>
              <w:t>2013</w:t>
            </w:r>
          </w:p>
        </w:tc>
        <w:tc>
          <w:tcPr>
            <w:tcW w:w="1129" w:type="dxa"/>
            <w:tcBorders>
              <w:top w:val="nil"/>
              <w:left w:val="nil"/>
              <w:bottom w:val="single" w:sz="4" w:space="0" w:color="auto"/>
              <w:right w:val="single" w:sz="4" w:space="0" w:color="auto"/>
            </w:tcBorders>
            <w:shd w:val="clear" w:color="auto" w:fill="auto"/>
            <w:vAlign w:val="center"/>
            <w:hideMark/>
          </w:tcPr>
          <w:p w14:paraId="5E956E94" w14:textId="77777777" w:rsidR="00186CE3" w:rsidRPr="00B27FE6" w:rsidRDefault="00186CE3" w:rsidP="00E8795E">
            <w:pPr>
              <w:jc w:val="center"/>
              <w:rPr>
                <w:color w:val="000000"/>
                <w:sz w:val="20"/>
                <w:szCs w:val="20"/>
                <w:lang w:val="en-GB"/>
              </w:rPr>
            </w:pPr>
            <w:r w:rsidRPr="00B27FE6">
              <w:rPr>
                <w:color w:val="000000"/>
                <w:sz w:val="20"/>
                <w:szCs w:val="20"/>
                <w:lang w:val="en-GB"/>
              </w:rPr>
              <w:t>-0.0257*</w:t>
            </w:r>
          </w:p>
        </w:tc>
        <w:tc>
          <w:tcPr>
            <w:tcW w:w="1235" w:type="dxa"/>
            <w:tcBorders>
              <w:top w:val="nil"/>
              <w:left w:val="nil"/>
              <w:bottom w:val="single" w:sz="4" w:space="0" w:color="auto"/>
              <w:right w:val="single" w:sz="4" w:space="0" w:color="auto"/>
            </w:tcBorders>
            <w:shd w:val="clear" w:color="auto" w:fill="auto"/>
            <w:vAlign w:val="center"/>
            <w:hideMark/>
          </w:tcPr>
          <w:p w14:paraId="25C0083F" w14:textId="77777777" w:rsidR="00186CE3" w:rsidRPr="00B27FE6" w:rsidRDefault="00186CE3" w:rsidP="00E8795E">
            <w:pPr>
              <w:jc w:val="center"/>
              <w:rPr>
                <w:color w:val="000000"/>
                <w:sz w:val="20"/>
                <w:szCs w:val="20"/>
                <w:lang w:val="en-GB"/>
              </w:rPr>
            </w:pPr>
            <w:r w:rsidRPr="00B27FE6">
              <w:rPr>
                <w:color w:val="000000"/>
                <w:sz w:val="20"/>
                <w:szCs w:val="20"/>
                <w:lang w:val="en-GB"/>
              </w:rPr>
              <w:t>-0.0179***</w:t>
            </w:r>
          </w:p>
        </w:tc>
        <w:tc>
          <w:tcPr>
            <w:tcW w:w="1235" w:type="dxa"/>
            <w:tcBorders>
              <w:top w:val="nil"/>
              <w:left w:val="nil"/>
              <w:bottom w:val="single" w:sz="4" w:space="0" w:color="auto"/>
              <w:right w:val="single" w:sz="4" w:space="0" w:color="auto"/>
            </w:tcBorders>
            <w:shd w:val="clear" w:color="auto" w:fill="auto"/>
            <w:vAlign w:val="center"/>
            <w:hideMark/>
          </w:tcPr>
          <w:p w14:paraId="5309229E" w14:textId="77777777" w:rsidR="00186CE3" w:rsidRPr="00B27FE6" w:rsidRDefault="00186CE3" w:rsidP="00E8795E">
            <w:pPr>
              <w:jc w:val="center"/>
              <w:rPr>
                <w:color w:val="000000"/>
                <w:sz w:val="20"/>
                <w:szCs w:val="20"/>
                <w:lang w:val="en-GB"/>
              </w:rPr>
            </w:pPr>
            <w:r w:rsidRPr="00B27FE6">
              <w:rPr>
                <w:color w:val="000000"/>
                <w:sz w:val="20"/>
                <w:szCs w:val="20"/>
                <w:lang w:val="en-GB"/>
              </w:rPr>
              <w:t>0.0410***</w:t>
            </w:r>
          </w:p>
        </w:tc>
        <w:tc>
          <w:tcPr>
            <w:tcW w:w="1129" w:type="dxa"/>
            <w:tcBorders>
              <w:top w:val="nil"/>
              <w:left w:val="nil"/>
              <w:bottom w:val="single" w:sz="4" w:space="0" w:color="auto"/>
              <w:right w:val="single" w:sz="4" w:space="0" w:color="auto"/>
            </w:tcBorders>
            <w:shd w:val="clear" w:color="auto" w:fill="auto"/>
            <w:vAlign w:val="center"/>
            <w:hideMark/>
          </w:tcPr>
          <w:p w14:paraId="2081D70D" w14:textId="77777777" w:rsidR="00186CE3" w:rsidRPr="00B27FE6" w:rsidRDefault="00186CE3" w:rsidP="00E8795E">
            <w:pPr>
              <w:jc w:val="center"/>
              <w:rPr>
                <w:color w:val="000000"/>
                <w:sz w:val="20"/>
                <w:szCs w:val="20"/>
                <w:lang w:val="en-GB"/>
              </w:rPr>
            </w:pPr>
            <w:r w:rsidRPr="00B27FE6">
              <w:rPr>
                <w:color w:val="000000"/>
                <w:sz w:val="20"/>
                <w:szCs w:val="20"/>
                <w:lang w:val="en-GB"/>
              </w:rPr>
              <w:t>0.223***</w:t>
            </w:r>
          </w:p>
        </w:tc>
        <w:tc>
          <w:tcPr>
            <w:tcW w:w="1097" w:type="dxa"/>
            <w:tcBorders>
              <w:top w:val="nil"/>
              <w:left w:val="nil"/>
              <w:bottom w:val="single" w:sz="4" w:space="0" w:color="auto"/>
              <w:right w:val="single" w:sz="4" w:space="0" w:color="auto"/>
            </w:tcBorders>
            <w:shd w:val="clear" w:color="auto" w:fill="auto"/>
            <w:vAlign w:val="center"/>
            <w:hideMark/>
          </w:tcPr>
          <w:p w14:paraId="3023C46C" w14:textId="77777777" w:rsidR="00186CE3" w:rsidRPr="00B27FE6" w:rsidRDefault="00186CE3" w:rsidP="00E8795E">
            <w:pPr>
              <w:jc w:val="center"/>
              <w:rPr>
                <w:color w:val="000000"/>
                <w:sz w:val="20"/>
                <w:szCs w:val="20"/>
                <w:lang w:val="en-GB"/>
              </w:rPr>
            </w:pPr>
            <w:r w:rsidRPr="00B27FE6">
              <w:rPr>
                <w:color w:val="000000"/>
                <w:sz w:val="20"/>
                <w:szCs w:val="20"/>
                <w:lang w:val="en-GB"/>
              </w:rPr>
              <w:t>-0.065***</w:t>
            </w:r>
          </w:p>
        </w:tc>
        <w:tc>
          <w:tcPr>
            <w:tcW w:w="1276" w:type="dxa"/>
            <w:tcBorders>
              <w:top w:val="nil"/>
              <w:left w:val="nil"/>
              <w:bottom w:val="single" w:sz="4" w:space="0" w:color="auto"/>
              <w:right w:val="single" w:sz="8" w:space="0" w:color="auto"/>
            </w:tcBorders>
            <w:shd w:val="clear" w:color="auto" w:fill="auto"/>
            <w:vAlign w:val="center"/>
            <w:hideMark/>
          </w:tcPr>
          <w:p w14:paraId="67332DA3" w14:textId="77777777" w:rsidR="00186CE3" w:rsidRPr="00B27FE6" w:rsidRDefault="00186CE3" w:rsidP="00E8795E">
            <w:pPr>
              <w:jc w:val="center"/>
              <w:rPr>
                <w:color w:val="000000"/>
                <w:sz w:val="20"/>
                <w:szCs w:val="20"/>
                <w:lang w:val="en-GB"/>
              </w:rPr>
            </w:pPr>
            <w:r w:rsidRPr="00B27FE6">
              <w:rPr>
                <w:color w:val="000000"/>
                <w:sz w:val="20"/>
                <w:szCs w:val="20"/>
                <w:lang w:val="en-GB"/>
              </w:rPr>
              <w:t>0.0740***</w:t>
            </w:r>
          </w:p>
        </w:tc>
      </w:tr>
      <w:tr w:rsidR="00186CE3" w:rsidRPr="00B27FE6" w14:paraId="5339BC63" w14:textId="77777777" w:rsidTr="00E8795E">
        <w:trPr>
          <w:trHeight w:val="183"/>
          <w:jc w:val="center"/>
        </w:trPr>
        <w:tc>
          <w:tcPr>
            <w:tcW w:w="1547" w:type="dxa"/>
            <w:tcBorders>
              <w:top w:val="nil"/>
              <w:left w:val="single" w:sz="8" w:space="0" w:color="auto"/>
              <w:bottom w:val="single" w:sz="4" w:space="0" w:color="auto"/>
              <w:right w:val="single" w:sz="8" w:space="0" w:color="auto"/>
            </w:tcBorders>
            <w:shd w:val="clear" w:color="000000" w:fill="D9D9D9"/>
            <w:noWrap/>
            <w:vAlign w:val="center"/>
            <w:hideMark/>
          </w:tcPr>
          <w:p w14:paraId="64AA5250" w14:textId="77777777" w:rsidR="00186CE3" w:rsidRPr="00B27FE6" w:rsidRDefault="00186CE3" w:rsidP="00E8795E">
            <w:pPr>
              <w:jc w:val="center"/>
              <w:rPr>
                <w:color w:val="000000"/>
                <w:sz w:val="20"/>
                <w:szCs w:val="20"/>
                <w:lang w:val="en-GB"/>
              </w:rPr>
            </w:pPr>
            <w:r w:rsidRPr="00B27FE6">
              <w:rPr>
                <w:color w:val="000000"/>
                <w:sz w:val="20"/>
                <w:szCs w:val="20"/>
                <w:lang w:val="en-GB"/>
              </w:rPr>
              <w:t>2014</w:t>
            </w:r>
          </w:p>
        </w:tc>
        <w:tc>
          <w:tcPr>
            <w:tcW w:w="1129" w:type="dxa"/>
            <w:tcBorders>
              <w:top w:val="nil"/>
              <w:left w:val="nil"/>
              <w:bottom w:val="single" w:sz="4" w:space="0" w:color="auto"/>
              <w:right w:val="single" w:sz="4" w:space="0" w:color="auto"/>
            </w:tcBorders>
            <w:shd w:val="clear" w:color="auto" w:fill="auto"/>
            <w:vAlign w:val="center"/>
            <w:hideMark/>
          </w:tcPr>
          <w:p w14:paraId="7524BB33" w14:textId="77777777" w:rsidR="00186CE3" w:rsidRPr="00B27FE6" w:rsidRDefault="00186CE3" w:rsidP="00E8795E">
            <w:pPr>
              <w:jc w:val="center"/>
              <w:rPr>
                <w:color w:val="000000"/>
                <w:sz w:val="20"/>
                <w:szCs w:val="20"/>
                <w:lang w:val="en-GB"/>
              </w:rPr>
            </w:pPr>
            <w:r w:rsidRPr="00B27FE6">
              <w:rPr>
                <w:color w:val="000000"/>
                <w:sz w:val="20"/>
                <w:szCs w:val="20"/>
                <w:lang w:val="en-GB"/>
              </w:rPr>
              <w:t>-0.0340**</w:t>
            </w:r>
          </w:p>
        </w:tc>
        <w:tc>
          <w:tcPr>
            <w:tcW w:w="1235" w:type="dxa"/>
            <w:tcBorders>
              <w:top w:val="nil"/>
              <w:left w:val="nil"/>
              <w:bottom w:val="single" w:sz="4" w:space="0" w:color="auto"/>
              <w:right w:val="single" w:sz="4" w:space="0" w:color="auto"/>
            </w:tcBorders>
            <w:shd w:val="clear" w:color="auto" w:fill="auto"/>
            <w:vAlign w:val="center"/>
            <w:hideMark/>
          </w:tcPr>
          <w:p w14:paraId="1D2E8233" w14:textId="77777777" w:rsidR="00186CE3" w:rsidRPr="00B27FE6" w:rsidRDefault="00186CE3" w:rsidP="00E8795E">
            <w:pPr>
              <w:jc w:val="center"/>
              <w:rPr>
                <w:color w:val="000000"/>
                <w:sz w:val="20"/>
                <w:szCs w:val="20"/>
                <w:lang w:val="en-GB"/>
              </w:rPr>
            </w:pPr>
            <w:r w:rsidRPr="00B27FE6">
              <w:rPr>
                <w:color w:val="000000"/>
                <w:sz w:val="20"/>
                <w:szCs w:val="20"/>
                <w:lang w:val="en-GB"/>
              </w:rPr>
              <w:t>-0.0184***</w:t>
            </w:r>
          </w:p>
        </w:tc>
        <w:tc>
          <w:tcPr>
            <w:tcW w:w="1235" w:type="dxa"/>
            <w:tcBorders>
              <w:top w:val="nil"/>
              <w:left w:val="nil"/>
              <w:bottom w:val="single" w:sz="4" w:space="0" w:color="auto"/>
              <w:right w:val="single" w:sz="4" w:space="0" w:color="auto"/>
            </w:tcBorders>
            <w:shd w:val="clear" w:color="auto" w:fill="auto"/>
            <w:vAlign w:val="center"/>
            <w:hideMark/>
          </w:tcPr>
          <w:p w14:paraId="1C459CF2" w14:textId="77777777" w:rsidR="00186CE3" w:rsidRPr="00B27FE6" w:rsidRDefault="00186CE3" w:rsidP="00E8795E">
            <w:pPr>
              <w:jc w:val="center"/>
              <w:rPr>
                <w:color w:val="000000"/>
                <w:sz w:val="20"/>
                <w:szCs w:val="20"/>
                <w:lang w:val="en-GB"/>
              </w:rPr>
            </w:pPr>
            <w:r w:rsidRPr="00B27FE6">
              <w:rPr>
                <w:color w:val="000000"/>
                <w:sz w:val="20"/>
                <w:szCs w:val="20"/>
                <w:lang w:val="en-GB"/>
              </w:rPr>
              <w:t>0.0414***</w:t>
            </w:r>
          </w:p>
        </w:tc>
        <w:tc>
          <w:tcPr>
            <w:tcW w:w="1129" w:type="dxa"/>
            <w:tcBorders>
              <w:top w:val="nil"/>
              <w:left w:val="nil"/>
              <w:bottom w:val="single" w:sz="4" w:space="0" w:color="auto"/>
              <w:right w:val="single" w:sz="4" w:space="0" w:color="auto"/>
            </w:tcBorders>
            <w:shd w:val="clear" w:color="auto" w:fill="auto"/>
            <w:vAlign w:val="center"/>
            <w:hideMark/>
          </w:tcPr>
          <w:p w14:paraId="35A2AF28" w14:textId="77777777" w:rsidR="00186CE3" w:rsidRPr="00B27FE6" w:rsidRDefault="00186CE3" w:rsidP="00E8795E">
            <w:pPr>
              <w:jc w:val="center"/>
              <w:rPr>
                <w:color w:val="000000"/>
                <w:sz w:val="20"/>
                <w:szCs w:val="20"/>
                <w:lang w:val="en-GB"/>
              </w:rPr>
            </w:pPr>
            <w:r w:rsidRPr="00B27FE6">
              <w:rPr>
                <w:color w:val="000000"/>
                <w:sz w:val="20"/>
                <w:szCs w:val="20"/>
                <w:lang w:val="en-GB"/>
              </w:rPr>
              <w:t>0.190***</w:t>
            </w:r>
          </w:p>
        </w:tc>
        <w:tc>
          <w:tcPr>
            <w:tcW w:w="1097" w:type="dxa"/>
            <w:tcBorders>
              <w:top w:val="nil"/>
              <w:left w:val="nil"/>
              <w:bottom w:val="single" w:sz="4" w:space="0" w:color="auto"/>
              <w:right w:val="single" w:sz="4" w:space="0" w:color="auto"/>
            </w:tcBorders>
            <w:shd w:val="clear" w:color="auto" w:fill="auto"/>
            <w:vAlign w:val="center"/>
            <w:hideMark/>
          </w:tcPr>
          <w:p w14:paraId="3D2650B2" w14:textId="77777777" w:rsidR="00186CE3" w:rsidRPr="00B27FE6" w:rsidRDefault="00186CE3" w:rsidP="00E8795E">
            <w:pPr>
              <w:jc w:val="center"/>
              <w:rPr>
                <w:color w:val="000000"/>
                <w:sz w:val="20"/>
                <w:szCs w:val="20"/>
                <w:lang w:val="en-GB"/>
              </w:rPr>
            </w:pPr>
            <w:r w:rsidRPr="00B27FE6">
              <w:rPr>
                <w:color w:val="000000"/>
                <w:sz w:val="20"/>
                <w:szCs w:val="20"/>
                <w:lang w:val="en-GB"/>
              </w:rPr>
              <w:t>-0.057***</w:t>
            </w:r>
          </w:p>
        </w:tc>
        <w:tc>
          <w:tcPr>
            <w:tcW w:w="1276" w:type="dxa"/>
            <w:tcBorders>
              <w:top w:val="nil"/>
              <w:left w:val="nil"/>
              <w:bottom w:val="single" w:sz="4" w:space="0" w:color="auto"/>
              <w:right w:val="single" w:sz="8" w:space="0" w:color="auto"/>
            </w:tcBorders>
            <w:shd w:val="clear" w:color="auto" w:fill="auto"/>
            <w:vAlign w:val="center"/>
            <w:hideMark/>
          </w:tcPr>
          <w:p w14:paraId="01F29B3A" w14:textId="77777777" w:rsidR="00186CE3" w:rsidRPr="00B27FE6" w:rsidRDefault="00186CE3" w:rsidP="00E8795E">
            <w:pPr>
              <w:jc w:val="center"/>
              <w:rPr>
                <w:color w:val="000000"/>
                <w:sz w:val="20"/>
                <w:szCs w:val="20"/>
                <w:lang w:val="en-GB"/>
              </w:rPr>
            </w:pPr>
            <w:r w:rsidRPr="00B27FE6">
              <w:rPr>
                <w:color w:val="000000"/>
                <w:sz w:val="20"/>
                <w:szCs w:val="20"/>
                <w:lang w:val="en-GB"/>
              </w:rPr>
              <w:t>0.0806***</w:t>
            </w:r>
          </w:p>
        </w:tc>
      </w:tr>
      <w:tr w:rsidR="00186CE3" w:rsidRPr="00B27FE6" w14:paraId="177994ED" w14:textId="77777777" w:rsidTr="00E8795E">
        <w:trPr>
          <w:trHeight w:val="183"/>
          <w:jc w:val="center"/>
        </w:trPr>
        <w:tc>
          <w:tcPr>
            <w:tcW w:w="1547" w:type="dxa"/>
            <w:tcBorders>
              <w:top w:val="nil"/>
              <w:left w:val="single" w:sz="8" w:space="0" w:color="auto"/>
              <w:bottom w:val="single" w:sz="4" w:space="0" w:color="auto"/>
              <w:right w:val="single" w:sz="8" w:space="0" w:color="auto"/>
            </w:tcBorders>
            <w:shd w:val="clear" w:color="000000" w:fill="D9D9D9"/>
            <w:noWrap/>
            <w:vAlign w:val="center"/>
            <w:hideMark/>
          </w:tcPr>
          <w:p w14:paraId="68FD0445" w14:textId="77777777" w:rsidR="00186CE3" w:rsidRPr="00B27FE6" w:rsidRDefault="00186CE3" w:rsidP="00E8795E">
            <w:pPr>
              <w:jc w:val="center"/>
              <w:rPr>
                <w:color w:val="000000"/>
                <w:sz w:val="20"/>
                <w:szCs w:val="20"/>
                <w:lang w:val="en-GB"/>
              </w:rPr>
            </w:pPr>
            <w:r w:rsidRPr="00B27FE6">
              <w:rPr>
                <w:color w:val="000000"/>
                <w:sz w:val="20"/>
                <w:szCs w:val="20"/>
                <w:lang w:val="en-GB"/>
              </w:rPr>
              <w:t>2015</w:t>
            </w:r>
          </w:p>
        </w:tc>
        <w:tc>
          <w:tcPr>
            <w:tcW w:w="1129" w:type="dxa"/>
            <w:tcBorders>
              <w:top w:val="nil"/>
              <w:left w:val="nil"/>
              <w:bottom w:val="single" w:sz="4" w:space="0" w:color="auto"/>
              <w:right w:val="single" w:sz="4" w:space="0" w:color="auto"/>
            </w:tcBorders>
            <w:shd w:val="clear" w:color="auto" w:fill="auto"/>
            <w:vAlign w:val="center"/>
            <w:hideMark/>
          </w:tcPr>
          <w:p w14:paraId="4D99C7E5" w14:textId="77777777" w:rsidR="00186CE3" w:rsidRPr="00B27FE6" w:rsidRDefault="00186CE3" w:rsidP="00E8795E">
            <w:pPr>
              <w:jc w:val="center"/>
              <w:rPr>
                <w:color w:val="000000"/>
                <w:sz w:val="20"/>
                <w:szCs w:val="20"/>
                <w:lang w:val="en-GB"/>
              </w:rPr>
            </w:pPr>
            <w:r w:rsidRPr="00B27FE6">
              <w:rPr>
                <w:color w:val="000000"/>
                <w:sz w:val="20"/>
                <w:szCs w:val="20"/>
                <w:lang w:val="en-GB"/>
              </w:rPr>
              <w:t>-0.0353**</w:t>
            </w:r>
          </w:p>
        </w:tc>
        <w:tc>
          <w:tcPr>
            <w:tcW w:w="1235" w:type="dxa"/>
            <w:tcBorders>
              <w:top w:val="nil"/>
              <w:left w:val="nil"/>
              <w:bottom w:val="single" w:sz="4" w:space="0" w:color="auto"/>
              <w:right w:val="single" w:sz="4" w:space="0" w:color="auto"/>
            </w:tcBorders>
            <w:shd w:val="clear" w:color="auto" w:fill="auto"/>
            <w:vAlign w:val="center"/>
            <w:hideMark/>
          </w:tcPr>
          <w:p w14:paraId="1F968D8F" w14:textId="77777777" w:rsidR="00186CE3" w:rsidRPr="00B27FE6" w:rsidRDefault="00186CE3" w:rsidP="00E8795E">
            <w:pPr>
              <w:jc w:val="center"/>
              <w:rPr>
                <w:color w:val="000000"/>
                <w:sz w:val="20"/>
                <w:szCs w:val="20"/>
                <w:lang w:val="en-GB"/>
              </w:rPr>
            </w:pPr>
            <w:r w:rsidRPr="00B27FE6">
              <w:rPr>
                <w:color w:val="000000"/>
                <w:sz w:val="20"/>
                <w:szCs w:val="20"/>
                <w:lang w:val="en-GB"/>
              </w:rPr>
              <w:t>-0.0203***</w:t>
            </w:r>
          </w:p>
        </w:tc>
        <w:tc>
          <w:tcPr>
            <w:tcW w:w="1235" w:type="dxa"/>
            <w:tcBorders>
              <w:top w:val="nil"/>
              <w:left w:val="nil"/>
              <w:bottom w:val="single" w:sz="4" w:space="0" w:color="auto"/>
              <w:right w:val="single" w:sz="4" w:space="0" w:color="auto"/>
            </w:tcBorders>
            <w:shd w:val="clear" w:color="auto" w:fill="auto"/>
            <w:vAlign w:val="center"/>
            <w:hideMark/>
          </w:tcPr>
          <w:p w14:paraId="6DC179F8" w14:textId="77777777" w:rsidR="00186CE3" w:rsidRPr="00B27FE6" w:rsidRDefault="00186CE3" w:rsidP="00E8795E">
            <w:pPr>
              <w:jc w:val="center"/>
              <w:rPr>
                <w:color w:val="000000"/>
                <w:sz w:val="20"/>
                <w:szCs w:val="20"/>
                <w:lang w:val="en-GB"/>
              </w:rPr>
            </w:pPr>
            <w:r w:rsidRPr="00B27FE6">
              <w:rPr>
                <w:color w:val="000000"/>
                <w:sz w:val="20"/>
                <w:szCs w:val="20"/>
                <w:lang w:val="en-GB"/>
              </w:rPr>
              <w:t>0.0431***</w:t>
            </w:r>
          </w:p>
        </w:tc>
        <w:tc>
          <w:tcPr>
            <w:tcW w:w="1129" w:type="dxa"/>
            <w:tcBorders>
              <w:top w:val="nil"/>
              <w:left w:val="nil"/>
              <w:bottom w:val="single" w:sz="4" w:space="0" w:color="auto"/>
              <w:right w:val="single" w:sz="4" w:space="0" w:color="auto"/>
            </w:tcBorders>
            <w:shd w:val="clear" w:color="auto" w:fill="auto"/>
            <w:vAlign w:val="center"/>
            <w:hideMark/>
          </w:tcPr>
          <w:p w14:paraId="327102D3" w14:textId="77777777" w:rsidR="00186CE3" w:rsidRPr="00B27FE6" w:rsidRDefault="00186CE3" w:rsidP="00E8795E">
            <w:pPr>
              <w:jc w:val="center"/>
              <w:rPr>
                <w:color w:val="000000"/>
                <w:sz w:val="20"/>
                <w:szCs w:val="20"/>
                <w:lang w:val="en-GB"/>
              </w:rPr>
            </w:pPr>
            <w:r w:rsidRPr="00B27FE6">
              <w:rPr>
                <w:color w:val="000000"/>
                <w:sz w:val="20"/>
                <w:szCs w:val="20"/>
                <w:lang w:val="en-GB"/>
              </w:rPr>
              <w:t>0.183***</w:t>
            </w:r>
          </w:p>
        </w:tc>
        <w:tc>
          <w:tcPr>
            <w:tcW w:w="1097" w:type="dxa"/>
            <w:tcBorders>
              <w:top w:val="nil"/>
              <w:left w:val="nil"/>
              <w:bottom w:val="single" w:sz="4" w:space="0" w:color="auto"/>
              <w:right w:val="single" w:sz="4" w:space="0" w:color="auto"/>
            </w:tcBorders>
            <w:shd w:val="clear" w:color="auto" w:fill="auto"/>
            <w:vAlign w:val="center"/>
            <w:hideMark/>
          </w:tcPr>
          <w:p w14:paraId="34862980" w14:textId="77777777" w:rsidR="00186CE3" w:rsidRPr="00B27FE6" w:rsidRDefault="00186CE3" w:rsidP="00E8795E">
            <w:pPr>
              <w:jc w:val="center"/>
              <w:rPr>
                <w:color w:val="000000"/>
                <w:sz w:val="20"/>
                <w:szCs w:val="20"/>
                <w:lang w:val="en-GB"/>
              </w:rPr>
            </w:pPr>
            <w:r w:rsidRPr="00B27FE6">
              <w:rPr>
                <w:color w:val="000000"/>
                <w:sz w:val="20"/>
                <w:szCs w:val="20"/>
                <w:lang w:val="en-GB"/>
              </w:rPr>
              <w:t>-0.064***</w:t>
            </w:r>
          </w:p>
        </w:tc>
        <w:tc>
          <w:tcPr>
            <w:tcW w:w="1276" w:type="dxa"/>
            <w:tcBorders>
              <w:top w:val="nil"/>
              <w:left w:val="nil"/>
              <w:bottom w:val="single" w:sz="4" w:space="0" w:color="auto"/>
              <w:right w:val="single" w:sz="8" w:space="0" w:color="auto"/>
            </w:tcBorders>
            <w:shd w:val="clear" w:color="auto" w:fill="auto"/>
            <w:vAlign w:val="center"/>
            <w:hideMark/>
          </w:tcPr>
          <w:p w14:paraId="19F2ECF8" w14:textId="77777777" w:rsidR="00186CE3" w:rsidRPr="00B27FE6" w:rsidRDefault="00186CE3" w:rsidP="00E8795E">
            <w:pPr>
              <w:jc w:val="center"/>
              <w:rPr>
                <w:color w:val="000000"/>
                <w:sz w:val="20"/>
                <w:szCs w:val="20"/>
                <w:lang w:val="en-GB"/>
              </w:rPr>
            </w:pPr>
            <w:r w:rsidRPr="00B27FE6">
              <w:rPr>
                <w:color w:val="000000"/>
                <w:sz w:val="20"/>
                <w:szCs w:val="20"/>
                <w:lang w:val="en-GB"/>
              </w:rPr>
              <w:t>0.0913***</w:t>
            </w:r>
          </w:p>
        </w:tc>
      </w:tr>
      <w:tr w:rsidR="00186CE3" w:rsidRPr="00B27FE6" w14:paraId="7659E1C7" w14:textId="77777777" w:rsidTr="00E8795E">
        <w:trPr>
          <w:trHeight w:val="183"/>
          <w:jc w:val="center"/>
        </w:trPr>
        <w:tc>
          <w:tcPr>
            <w:tcW w:w="1547" w:type="dxa"/>
            <w:tcBorders>
              <w:top w:val="nil"/>
              <w:left w:val="single" w:sz="8" w:space="0" w:color="auto"/>
              <w:bottom w:val="single" w:sz="4" w:space="0" w:color="auto"/>
              <w:right w:val="single" w:sz="8" w:space="0" w:color="auto"/>
            </w:tcBorders>
            <w:shd w:val="clear" w:color="000000" w:fill="D9D9D9"/>
            <w:noWrap/>
            <w:vAlign w:val="center"/>
            <w:hideMark/>
          </w:tcPr>
          <w:p w14:paraId="2E530FBB" w14:textId="77777777" w:rsidR="00186CE3" w:rsidRPr="00B27FE6" w:rsidRDefault="00186CE3" w:rsidP="00E8795E">
            <w:pPr>
              <w:jc w:val="center"/>
              <w:rPr>
                <w:color w:val="000000"/>
                <w:sz w:val="20"/>
                <w:szCs w:val="20"/>
                <w:lang w:val="en-GB"/>
              </w:rPr>
            </w:pPr>
            <w:r w:rsidRPr="00B27FE6">
              <w:rPr>
                <w:color w:val="000000"/>
                <w:sz w:val="20"/>
                <w:szCs w:val="20"/>
                <w:lang w:val="en-GB"/>
              </w:rPr>
              <w:t>2016</w:t>
            </w:r>
          </w:p>
        </w:tc>
        <w:tc>
          <w:tcPr>
            <w:tcW w:w="1129" w:type="dxa"/>
            <w:tcBorders>
              <w:top w:val="nil"/>
              <w:left w:val="nil"/>
              <w:bottom w:val="single" w:sz="4" w:space="0" w:color="auto"/>
              <w:right w:val="single" w:sz="4" w:space="0" w:color="auto"/>
            </w:tcBorders>
            <w:shd w:val="clear" w:color="auto" w:fill="auto"/>
            <w:vAlign w:val="center"/>
            <w:hideMark/>
          </w:tcPr>
          <w:p w14:paraId="438F4549" w14:textId="77777777" w:rsidR="00186CE3" w:rsidRPr="00B27FE6" w:rsidRDefault="00186CE3" w:rsidP="00E8795E">
            <w:pPr>
              <w:jc w:val="center"/>
              <w:rPr>
                <w:color w:val="000000"/>
                <w:sz w:val="20"/>
                <w:szCs w:val="20"/>
                <w:lang w:val="en-GB"/>
              </w:rPr>
            </w:pPr>
            <w:r w:rsidRPr="00B27FE6">
              <w:rPr>
                <w:color w:val="000000"/>
                <w:sz w:val="20"/>
                <w:szCs w:val="20"/>
                <w:lang w:val="en-GB"/>
              </w:rPr>
              <w:t>-0.042***</w:t>
            </w:r>
          </w:p>
        </w:tc>
        <w:tc>
          <w:tcPr>
            <w:tcW w:w="1235" w:type="dxa"/>
            <w:tcBorders>
              <w:top w:val="nil"/>
              <w:left w:val="nil"/>
              <w:bottom w:val="single" w:sz="4" w:space="0" w:color="auto"/>
              <w:right w:val="single" w:sz="4" w:space="0" w:color="auto"/>
            </w:tcBorders>
            <w:shd w:val="clear" w:color="auto" w:fill="auto"/>
            <w:vAlign w:val="center"/>
            <w:hideMark/>
          </w:tcPr>
          <w:p w14:paraId="6A61DEE1" w14:textId="77777777" w:rsidR="00186CE3" w:rsidRPr="00B27FE6" w:rsidRDefault="00186CE3" w:rsidP="00E8795E">
            <w:pPr>
              <w:jc w:val="center"/>
              <w:rPr>
                <w:color w:val="000000"/>
                <w:sz w:val="20"/>
                <w:szCs w:val="20"/>
                <w:lang w:val="en-GB"/>
              </w:rPr>
            </w:pPr>
            <w:r w:rsidRPr="00B27FE6">
              <w:rPr>
                <w:color w:val="000000"/>
                <w:sz w:val="20"/>
                <w:szCs w:val="20"/>
                <w:lang w:val="en-GB"/>
              </w:rPr>
              <w:t>-0.0205***</w:t>
            </w:r>
          </w:p>
        </w:tc>
        <w:tc>
          <w:tcPr>
            <w:tcW w:w="1235" w:type="dxa"/>
            <w:tcBorders>
              <w:top w:val="nil"/>
              <w:left w:val="nil"/>
              <w:bottom w:val="single" w:sz="4" w:space="0" w:color="auto"/>
              <w:right w:val="single" w:sz="4" w:space="0" w:color="auto"/>
            </w:tcBorders>
            <w:shd w:val="clear" w:color="auto" w:fill="auto"/>
            <w:vAlign w:val="center"/>
            <w:hideMark/>
          </w:tcPr>
          <w:p w14:paraId="47B04404" w14:textId="77777777" w:rsidR="00186CE3" w:rsidRPr="00B27FE6" w:rsidRDefault="00186CE3" w:rsidP="00E8795E">
            <w:pPr>
              <w:jc w:val="center"/>
              <w:rPr>
                <w:color w:val="000000"/>
                <w:sz w:val="20"/>
                <w:szCs w:val="20"/>
                <w:lang w:val="en-GB"/>
              </w:rPr>
            </w:pPr>
            <w:r w:rsidRPr="00B27FE6">
              <w:rPr>
                <w:color w:val="000000"/>
                <w:sz w:val="20"/>
                <w:szCs w:val="20"/>
                <w:lang w:val="en-GB"/>
              </w:rPr>
              <w:t>0.0416***</w:t>
            </w:r>
          </w:p>
        </w:tc>
        <w:tc>
          <w:tcPr>
            <w:tcW w:w="1129" w:type="dxa"/>
            <w:tcBorders>
              <w:top w:val="nil"/>
              <w:left w:val="nil"/>
              <w:bottom w:val="single" w:sz="4" w:space="0" w:color="auto"/>
              <w:right w:val="single" w:sz="4" w:space="0" w:color="auto"/>
            </w:tcBorders>
            <w:shd w:val="clear" w:color="auto" w:fill="auto"/>
            <w:vAlign w:val="center"/>
            <w:hideMark/>
          </w:tcPr>
          <w:p w14:paraId="502E24F8" w14:textId="77777777" w:rsidR="00186CE3" w:rsidRPr="00B27FE6" w:rsidRDefault="00186CE3" w:rsidP="00E8795E">
            <w:pPr>
              <w:jc w:val="center"/>
              <w:rPr>
                <w:color w:val="000000"/>
                <w:sz w:val="20"/>
                <w:szCs w:val="20"/>
                <w:lang w:val="en-GB"/>
              </w:rPr>
            </w:pPr>
            <w:r w:rsidRPr="00B27FE6">
              <w:rPr>
                <w:color w:val="000000"/>
                <w:sz w:val="20"/>
                <w:szCs w:val="20"/>
                <w:lang w:val="en-GB"/>
              </w:rPr>
              <w:t>0.158***</w:t>
            </w:r>
          </w:p>
        </w:tc>
        <w:tc>
          <w:tcPr>
            <w:tcW w:w="1097" w:type="dxa"/>
            <w:tcBorders>
              <w:top w:val="nil"/>
              <w:left w:val="nil"/>
              <w:bottom w:val="single" w:sz="4" w:space="0" w:color="auto"/>
              <w:right w:val="single" w:sz="4" w:space="0" w:color="auto"/>
            </w:tcBorders>
            <w:shd w:val="clear" w:color="auto" w:fill="auto"/>
            <w:vAlign w:val="center"/>
            <w:hideMark/>
          </w:tcPr>
          <w:p w14:paraId="154D1DEE" w14:textId="77777777" w:rsidR="00186CE3" w:rsidRPr="00B27FE6" w:rsidRDefault="00186CE3" w:rsidP="00E8795E">
            <w:pPr>
              <w:jc w:val="center"/>
              <w:rPr>
                <w:color w:val="000000"/>
                <w:sz w:val="20"/>
                <w:szCs w:val="20"/>
                <w:lang w:val="en-GB"/>
              </w:rPr>
            </w:pPr>
            <w:r w:rsidRPr="00B27FE6">
              <w:rPr>
                <w:color w:val="000000"/>
                <w:sz w:val="20"/>
                <w:szCs w:val="20"/>
                <w:lang w:val="en-GB"/>
              </w:rPr>
              <w:t>-0.059***</w:t>
            </w:r>
          </w:p>
        </w:tc>
        <w:tc>
          <w:tcPr>
            <w:tcW w:w="1276" w:type="dxa"/>
            <w:tcBorders>
              <w:top w:val="nil"/>
              <w:left w:val="nil"/>
              <w:bottom w:val="single" w:sz="4" w:space="0" w:color="auto"/>
              <w:right w:val="single" w:sz="8" w:space="0" w:color="auto"/>
            </w:tcBorders>
            <w:shd w:val="clear" w:color="auto" w:fill="auto"/>
            <w:vAlign w:val="center"/>
            <w:hideMark/>
          </w:tcPr>
          <w:p w14:paraId="4A81F326" w14:textId="77777777" w:rsidR="00186CE3" w:rsidRPr="00B27FE6" w:rsidRDefault="00186CE3" w:rsidP="00E8795E">
            <w:pPr>
              <w:jc w:val="center"/>
              <w:rPr>
                <w:color w:val="000000"/>
                <w:sz w:val="20"/>
                <w:szCs w:val="20"/>
                <w:lang w:val="en-GB"/>
              </w:rPr>
            </w:pPr>
            <w:r w:rsidRPr="00B27FE6">
              <w:rPr>
                <w:color w:val="000000"/>
                <w:sz w:val="20"/>
                <w:szCs w:val="20"/>
                <w:lang w:val="en-GB"/>
              </w:rPr>
              <w:t>0.0925***</w:t>
            </w:r>
          </w:p>
        </w:tc>
      </w:tr>
      <w:tr w:rsidR="00186CE3" w:rsidRPr="00B27FE6" w14:paraId="64F4E3A1" w14:textId="77777777" w:rsidTr="00E8795E">
        <w:trPr>
          <w:trHeight w:val="183"/>
          <w:jc w:val="center"/>
        </w:trPr>
        <w:tc>
          <w:tcPr>
            <w:tcW w:w="1547" w:type="dxa"/>
            <w:tcBorders>
              <w:top w:val="nil"/>
              <w:left w:val="single" w:sz="8" w:space="0" w:color="auto"/>
              <w:bottom w:val="single" w:sz="4" w:space="0" w:color="auto"/>
              <w:right w:val="single" w:sz="8" w:space="0" w:color="auto"/>
            </w:tcBorders>
            <w:shd w:val="clear" w:color="000000" w:fill="D9D9D9"/>
            <w:noWrap/>
            <w:vAlign w:val="center"/>
            <w:hideMark/>
          </w:tcPr>
          <w:p w14:paraId="71377B7D" w14:textId="77777777" w:rsidR="00186CE3" w:rsidRPr="00B27FE6" w:rsidRDefault="00186CE3" w:rsidP="00E8795E">
            <w:pPr>
              <w:jc w:val="center"/>
              <w:rPr>
                <w:color w:val="000000"/>
                <w:sz w:val="20"/>
                <w:szCs w:val="20"/>
                <w:lang w:val="en-GB"/>
              </w:rPr>
            </w:pPr>
            <w:r w:rsidRPr="00B27FE6">
              <w:rPr>
                <w:color w:val="000000"/>
                <w:sz w:val="20"/>
                <w:szCs w:val="20"/>
                <w:lang w:val="en-GB"/>
              </w:rPr>
              <w:t>Constant</w:t>
            </w:r>
          </w:p>
        </w:tc>
        <w:tc>
          <w:tcPr>
            <w:tcW w:w="1129" w:type="dxa"/>
            <w:tcBorders>
              <w:top w:val="nil"/>
              <w:left w:val="nil"/>
              <w:bottom w:val="single" w:sz="4" w:space="0" w:color="auto"/>
              <w:right w:val="single" w:sz="4" w:space="0" w:color="auto"/>
            </w:tcBorders>
            <w:shd w:val="clear" w:color="auto" w:fill="auto"/>
            <w:vAlign w:val="center"/>
            <w:hideMark/>
          </w:tcPr>
          <w:p w14:paraId="78894F56" w14:textId="77777777" w:rsidR="00186CE3" w:rsidRPr="00B27FE6" w:rsidRDefault="00186CE3" w:rsidP="00E8795E">
            <w:pPr>
              <w:jc w:val="center"/>
              <w:rPr>
                <w:color w:val="000000"/>
                <w:sz w:val="20"/>
                <w:szCs w:val="20"/>
                <w:lang w:val="en-GB"/>
              </w:rPr>
            </w:pPr>
            <w:r w:rsidRPr="00B27FE6">
              <w:rPr>
                <w:color w:val="000000"/>
                <w:sz w:val="20"/>
                <w:szCs w:val="20"/>
                <w:lang w:val="en-GB"/>
              </w:rPr>
              <w:t>-15.98***</w:t>
            </w:r>
          </w:p>
        </w:tc>
        <w:tc>
          <w:tcPr>
            <w:tcW w:w="1235" w:type="dxa"/>
            <w:tcBorders>
              <w:top w:val="nil"/>
              <w:left w:val="nil"/>
              <w:bottom w:val="single" w:sz="4" w:space="0" w:color="auto"/>
              <w:right w:val="single" w:sz="4" w:space="0" w:color="auto"/>
            </w:tcBorders>
            <w:shd w:val="clear" w:color="auto" w:fill="auto"/>
            <w:vAlign w:val="center"/>
            <w:hideMark/>
          </w:tcPr>
          <w:p w14:paraId="46B589DB" w14:textId="77777777" w:rsidR="00186CE3" w:rsidRPr="00B27FE6" w:rsidRDefault="00186CE3" w:rsidP="00E8795E">
            <w:pPr>
              <w:jc w:val="center"/>
              <w:rPr>
                <w:color w:val="000000"/>
                <w:sz w:val="20"/>
                <w:szCs w:val="20"/>
                <w:lang w:val="en-GB"/>
              </w:rPr>
            </w:pPr>
            <w:r w:rsidRPr="00B27FE6">
              <w:rPr>
                <w:color w:val="000000"/>
                <w:sz w:val="20"/>
                <w:szCs w:val="20"/>
                <w:lang w:val="en-GB"/>
              </w:rPr>
              <w:t>-0.438</w:t>
            </w:r>
          </w:p>
        </w:tc>
        <w:tc>
          <w:tcPr>
            <w:tcW w:w="1235" w:type="dxa"/>
            <w:tcBorders>
              <w:top w:val="nil"/>
              <w:left w:val="nil"/>
              <w:bottom w:val="single" w:sz="4" w:space="0" w:color="auto"/>
              <w:right w:val="single" w:sz="4" w:space="0" w:color="auto"/>
            </w:tcBorders>
            <w:shd w:val="clear" w:color="auto" w:fill="auto"/>
            <w:vAlign w:val="center"/>
            <w:hideMark/>
          </w:tcPr>
          <w:p w14:paraId="3D767AE3" w14:textId="77777777" w:rsidR="00186CE3" w:rsidRPr="00B27FE6" w:rsidRDefault="00186CE3" w:rsidP="00E8795E">
            <w:pPr>
              <w:jc w:val="center"/>
              <w:rPr>
                <w:color w:val="000000"/>
                <w:sz w:val="20"/>
                <w:szCs w:val="20"/>
                <w:lang w:val="en-GB"/>
              </w:rPr>
            </w:pPr>
            <w:r w:rsidRPr="00B27FE6">
              <w:rPr>
                <w:color w:val="000000"/>
                <w:sz w:val="20"/>
                <w:szCs w:val="20"/>
                <w:lang w:val="en-GB"/>
              </w:rPr>
              <w:t>4.513***</w:t>
            </w:r>
          </w:p>
        </w:tc>
        <w:tc>
          <w:tcPr>
            <w:tcW w:w="1129" w:type="dxa"/>
            <w:tcBorders>
              <w:top w:val="nil"/>
              <w:left w:val="nil"/>
              <w:bottom w:val="single" w:sz="4" w:space="0" w:color="auto"/>
              <w:right w:val="single" w:sz="4" w:space="0" w:color="auto"/>
            </w:tcBorders>
            <w:shd w:val="clear" w:color="auto" w:fill="auto"/>
            <w:vAlign w:val="center"/>
            <w:hideMark/>
          </w:tcPr>
          <w:p w14:paraId="055538A0" w14:textId="77777777" w:rsidR="00186CE3" w:rsidRPr="00B27FE6" w:rsidRDefault="00186CE3" w:rsidP="00E8795E">
            <w:pPr>
              <w:jc w:val="center"/>
              <w:rPr>
                <w:color w:val="000000"/>
                <w:sz w:val="20"/>
                <w:szCs w:val="20"/>
                <w:lang w:val="en-GB"/>
              </w:rPr>
            </w:pPr>
            <w:r w:rsidRPr="00B27FE6">
              <w:rPr>
                <w:color w:val="000000"/>
                <w:sz w:val="20"/>
                <w:szCs w:val="20"/>
                <w:lang w:val="en-GB"/>
              </w:rPr>
              <w:t>-1.355</w:t>
            </w:r>
          </w:p>
        </w:tc>
        <w:tc>
          <w:tcPr>
            <w:tcW w:w="1097" w:type="dxa"/>
            <w:tcBorders>
              <w:top w:val="nil"/>
              <w:left w:val="nil"/>
              <w:bottom w:val="single" w:sz="4" w:space="0" w:color="auto"/>
              <w:right w:val="single" w:sz="4" w:space="0" w:color="auto"/>
            </w:tcBorders>
            <w:shd w:val="clear" w:color="auto" w:fill="auto"/>
            <w:vAlign w:val="center"/>
            <w:hideMark/>
          </w:tcPr>
          <w:p w14:paraId="316A03A7" w14:textId="77777777" w:rsidR="00186CE3" w:rsidRPr="00B27FE6" w:rsidRDefault="00186CE3" w:rsidP="00E8795E">
            <w:pPr>
              <w:jc w:val="center"/>
              <w:rPr>
                <w:color w:val="000000"/>
                <w:sz w:val="20"/>
                <w:szCs w:val="20"/>
                <w:lang w:val="en-GB"/>
              </w:rPr>
            </w:pPr>
            <w:r w:rsidRPr="00B27FE6">
              <w:rPr>
                <w:color w:val="000000"/>
                <w:sz w:val="20"/>
                <w:szCs w:val="20"/>
                <w:lang w:val="en-GB"/>
              </w:rPr>
              <w:t>-5.496***</w:t>
            </w:r>
          </w:p>
        </w:tc>
        <w:tc>
          <w:tcPr>
            <w:tcW w:w="1276" w:type="dxa"/>
            <w:tcBorders>
              <w:top w:val="nil"/>
              <w:left w:val="nil"/>
              <w:bottom w:val="single" w:sz="4" w:space="0" w:color="auto"/>
              <w:right w:val="single" w:sz="8" w:space="0" w:color="auto"/>
            </w:tcBorders>
            <w:shd w:val="clear" w:color="auto" w:fill="auto"/>
            <w:vAlign w:val="center"/>
            <w:hideMark/>
          </w:tcPr>
          <w:p w14:paraId="4B1AF9FB" w14:textId="77777777" w:rsidR="00186CE3" w:rsidRPr="00B27FE6" w:rsidRDefault="00186CE3" w:rsidP="00E8795E">
            <w:pPr>
              <w:jc w:val="center"/>
              <w:rPr>
                <w:color w:val="000000"/>
                <w:sz w:val="20"/>
                <w:szCs w:val="20"/>
                <w:lang w:val="en-GB"/>
              </w:rPr>
            </w:pPr>
            <w:r w:rsidRPr="00B27FE6">
              <w:rPr>
                <w:color w:val="000000"/>
                <w:sz w:val="20"/>
                <w:szCs w:val="20"/>
                <w:lang w:val="en-GB"/>
              </w:rPr>
              <w:t>-33.23***</w:t>
            </w:r>
          </w:p>
        </w:tc>
      </w:tr>
      <w:tr w:rsidR="00186CE3" w:rsidRPr="00B27FE6" w14:paraId="32AC9AB6" w14:textId="77777777" w:rsidTr="00E8795E">
        <w:trPr>
          <w:trHeight w:val="368"/>
          <w:jc w:val="center"/>
        </w:trPr>
        <w:tc>
          <w:tcPr>
            <w:tcW w:w="1547" w:type="dxa"/>
            <w:tcBorders>
              <w:top w:val="nil"/>
              <w:left w:val="single" w:sz="8" w:space="0" w:color="auto"/>
              <w:bottom w:val="single" w:sz="4" w:space="0" w:color="auto"/>
              <w:right w:val="single" w:sz="8" w:space="0" w:color="auto"/>
            </w:tcBorders>
            <w:shd w:val="clear" w:color="000000" w:fill="D9D9D9"/>
            <w:vAlign w:val="center"/>
            <w:hideMark/>
          </w:tcPr>
          <w:p w14:paraId="21CD8257" w14:textId="77777777" w:rsidR="00186CE3" w:rsidRPr="00B27FE6" w:rsidRDefault="00186CE3" w:rsidP="00E8795E">
            <w:pPr>
              <w:jc w:val="center"/>
              <w:rPr>
                <w:color w:val="000000"/>
                <w:sz w:val="20"/>
                <w:szCs w:val="20"/>
                <w:lang w:val="en-GB"/>
              </w:rPr>
            </w:pPr>
            <w:r w:rsidRPr="00B27FE6">
              <w:rPr>
                <w:color w:val="000000"/>
                <w:sz w:val="20"/>
                <w:szCs w:val="20"/>
                <w:lang w:val="en-GB"/>
              </w:rPr>
              <w:t xml:space="preserve">Number of </w:t>
            </w:r>
            <w:r w:rsidRPr="00B27FE6">
              <w:rPr>
                <w:color w:val="000000"/>
                <w:sz w:val="20"/>
                <w:szCs w:val="20"/>
                <w:lang w:val="en-GB"/>
              </w:rPr>
              <w:br/>
              <w:t>observations</w:t>
            </w:r>
          </w:p>
        </w:tc>
        <w:tc>
          <w:tcPr>
            <w:tcW w:w="1129" w:type="dxa"/>
            <w:tcBorders>
              <w:top w:val="nil"/>
              <w:left w:val="nil"/>
              <w:bottom w:val="single" w:sz="4" w:space="0" w:color="auto"/>
              <w:right w:val="single" w:sz="4" w:space="0" w:color="auto"/>
            </w:tcBorders>
            <w:shd w:val="clear" w:color="auto" w:fill="auto"/>
            <w:noWrap/>
            <w:vAlign w:val="center"/>
            <w:hideMark/>
          </w:tcPr>
          <w:p w14:paraId="640DF7D4" w14:textId="77777777" w:rsidR="00186CE3" w:rsidRPr="00B27FE6" w:rsidRDefault="00186CE3" w:rsidP="00E8795E">
            <w:pPr>
              <w:jc w:val="center"/>
              <w:rPr>
                <w:color w:val="000000"/>
                <w:sz w:val="20"/>
                <w:szCs w:val="20"/>
                <w:lang w:val="en-GB"/>
              </w:rPr>
            </w:pPr>
            <w:r w:rsidRPr="00B27FE6">
              <w:rPr>
                <w:color w:val="000000"/>
                <w:sz w:val="20"/>
                <w:szCs w:val="20"/>
                <w:lang w:val="en-GB"/>
              </w:rPr>
              <w:t>238</w:t>
            </w:r>
          </w:p>
        </w:tc>
        <w:tc>
          <w:tcPr>
            <w:tcW w:w="1235" w:type="dxa"/>
            <w:tcBorders>
              <w:top w:val="nil"/>
              <w:left w:val="nil"/>
              <w:bottom w:val="single" w:sz="4" w:space="0" w:color="auto"/>
              <w:right w:val="single" w:sz="4" w:space="0" w:color="auto"/>
            </w:tcBorders>
            <w:shd w:val="clear" w:color="auto" w:fill="auto"/>
            <w:noWrap/>
            <w:vAlign w:val="center"/>
            <w:hideMark/>
          </w:tcPr>
          <w:p w14:paraId="06E97103" w14:textId="77777777" w:rsidR="00186CE3" w:rsidRPr="00B27FE6" w:rsidRDefault="00186CE3" w:rsidP="00E8795E">
            <w:pPr>
              <w:jc w:val="center"/>
              <w:rPr>
                <w:color w:val="000000"/>
                <w:sz w:val="20"/>
                <w:szCs w:val="20"/>
                <w:lang w:val="en-GB"/>
              </w:rPr>
            </w:pPr>
            <w:r w:rsidRPr="00B27FE6">
              <w:rPr>
                <w:color w:val="000000"/>
                <w:sz w:val="20"/>
                <w:szCs w:val="20"/>
                <w:lang w:val="en-GB"/>
              </w:rPr>
              <w:t>238</w:t>
            </w:r>
          </w:p>
        </w:tc>
        <w:tc>
          <w:tcPr>
            <w:tcW w:w="1235" w:type="dxa"/>
            <w:tcBorders>
              <w:top w:val="nil"/>
              <w:left w:val="nil"/>
              <w:bottom w:val="single" w:sz="4" w:space="0" w:color="auto"/>
              <w:right w:val="single" w:sz="4" w:space="0" w:color="auto"/>
            </w:tcBorders>
            <w:shd w:val="clear" w:color="auto" w:fill="auto"/>
            <w:noWrap/>
            <w:vAlign w:val="center"/>
            <w:hideMark/>
          </w:tcPr>
          <w:p w14:paraId="44A13045" w14:textId="77777777" w:rsidR="00186CE3" w:rsidRPr="00B27FE6" w:rsidRDefault="00186CE3" w:rsidP="00E8795E">
            <w:pPr>
              <w:jc w:val="center"/>
              <w:rPr>
                <w:color w:val="000000"/>
                <w:sz w:val="20"/>
                <w:szCs w:val="20"/>
                <w:lang w:val="en-GB"/>
              </w:rPr>
            </w:pPr>
            <w:r w:rsidRPr="00B27FE6">
              <w:rPr>
                <w:color w:val="000000"/>
                <w:sz w:val="20"/>
                <w:szCs w:val="20"/>
                <w:lang w:val="en-GB"/>
              </w:rPr>
              <w:t>238</w:t>
            </w:r>
          </w:p>
        </w:tc>
        <w:tc>
          <w:tcPr>
            <w:tcW w:w="1129" w:type="dxa"/>
            <w:tcBorders>
              <w:top w:val="nil"/>
              <w:left w:val="nil"/>
              <w:bottom w:val="single" w:sz="4" w:space="0" w:color="auto"/>
              <w:right w:val="single" w:sz="4" w:space="0" w:color="auto"/>
            </w:tcBorders>
            <w:shd w:val="clear" w:color="auto" w:fill="auto"/>
            <w:noWrap/>
            <w:vAlign w:val="center"/>
            <w:hideMark/>
          </w:tcPr>
          <w:p w14:paraId="76C59909" w14:textId="77777777" w:rsidR="00186CE3" w:rsidRPr="00B27FE6" w:rsidRDefault="00186CE3" w:rsidP="00E8795E">
            <w:pPr>
              <w:jc w:val="center"/>
              <w:rPr>
                <w:color w:val="000000"/>
                <w:sz w:val="20"/>
                <w:szCs w:val="20"/>
                <w:lang w:val="en-GB"/>
              </w:rPr>
            </w:pPr>
            <w:r w:rsidRPr="00B27FE6">
              <w:rPr>
                <w:color w:val="000000"/>
                <w:sz w:val="20"/>
                <w:szCs w:val="20"/>
                <w:lang w:val="en-GB"/>
              </w:rPr>
              <w:t>238</w:t>
            </w:r>
          </w:p>
        </w:tc>
        <w:tc>
          <w:tcPr>
            <w:tcW w:w="1097" w:type="dxa"/>
            <w:tcBorders>
              <w:top w:val="nil"/>
              <w:left w:val="nil"/>
              <w:bottom w:val="single" w:sz="4" w:space="0" w:color="auto"/>
              <w:right w:val="single" w:sz="4" w:space="0" w:color="auto"/>
            </w:tcBorders>
            <w:shd w:val="clear" w:color="auto" w:fill="auto"/>
            <w:noWrap/>
            <w:vAlign w:val="center"/>
            <w:hideMark/>
          </w:tcPr>
          <w:p w14:paraId="158CE389" w14:textId="77777777" w:rsidR="00186CE3" w:rsidRPr="00B27FE6" w:rsidRDefault="00186CE3" w:rsidP="00E8795E">
            <w:pPr>
              <w:jc w:val="center"/>
              <w:rPr>
                <w:color w:val="000000"/>
                <w:sz w:val="20"/>
                <w:szCs w:val="20"/>
                <w:lang w:val="en-GB"/>
              </w:rPr>
            </w:pPr>
            <w:r w:rsidRPr="00B27FE6">
              <w:rPr>
                <w:color w:val="000000"/>
                <w:sz w:val="20"/>
                <w:szCs w:val="20"/>
                <w:lang w:val="en-GB"/>
              </w:rPr>
              <w:t>238</w:t>
            </w:r>
          </w:p>
        </w:tc>
        <w:tc>
          <w:tcPr>
            <w:tcW w:w="1276" w:type="dxa"/>
            <w:tcBorders>
              <w:top w:val="nil"/>
              <w:left w:val="nil"/>
              <w:bottom w:val="single" w:sz="4" w:space="0" w:color="auto"/>
              <w:right w:val="single" w:sz="8" w:space="0" w:color="auto"/>
            </w:tcBorders>
            <w:shd w:val="clear" w:color="auto" w:fill="auto"/>
            <w:noWrap/>
            <w:vAlign w:val="center"/>
            <w:hideMark/>
          </w:tcPr>
          <w:p w14:paraId="5901BC96" w14:textId="77777777" w:rsidR="00186CE3" w:rsidRPr="00B27FE6" w:rsidRDefault="00186CE3" w:rsidP="00E8795E">
            <w:pPr>
              <w:jc w:val="center"/>
              <w:rPr>
                <w:color w:val="000000"/>
                <w:sz w:val="20"/>
                <w:szCs w:val="20"/>
                <w:lang w:val="en-GB"/>
              </w:rPr>
            </w:pPr>
            <w:r w:rsidRPr="00B27FE6">
              <w:rPr>
                <w:color w:val="000000"/>
                <w:sz w:val="20"/>
                <w:szCs w:val="20"/>
                <w:lang w:val="en-GB"/>
              </w:rPr>
              <w:t>238</w:t>
            </w:r>
          </w:p>
        </w:tc>
      </w:tr>
      <w:tr w:rsidR="00186CE3" w:rsidRPr="00B27FE6" w14:paraId="5938FF0B" w14:textId="77777777" w:rsidTr="00E8795E">
        <w:trPr>
          <w:trHeight w:val="173"/>
          <w:jc w:val="center"/>
        </w:trPr>
        <w:tc>
          <w:tcPr>
            <w:tcW w:w="1547" w:type="dxa"/>
            <w:tcBorders>
              <w:top w:val="nil"/>
              <w:left w:val="single" w:sz="8" w:space="0" w:color="auto"/>
              <w:bottom w:val="single" w:sz="4" w:space="0" w:color="auto"/>
              <w:right w:val="single" w:sz="8" w:space="0" w:color="auto"/>
            </w:tcBorders>
            <w:shd w:val="clear" w:color="000000" w:fill="D9D9D9"/>
            <w:noWrap/>
            <w:vAlign w:val="center"/>
            <w:hideMark/>
          </w:tcPr>
          <w:p w14:paraId="22B81841" w14:textId="77777777" w:rsidR="00186CE3" w:rsidRPr="00B27FE6" w:rsidRDefault="00186CE3" w:rsidP="00E8795E">
            <w:pPr>
              <w:jc w:val="center"/>
              <w:rPr>
                <w:color w:val="000000"/>
                <w:sz w:val="20"/>
                <w:szCs w:val="20"/>
                <w:lang w:val="en-GB"/>
              </w:rPr>
            </w:pPr>
            <w:r w:rsidRPr="00B27FE6">
              <w:rPr>
                <w:color w:val="000000"/>
                <w:sz w:val="20"/>
                <w:szCs w:val="20"/>
                <w:lang w:val="en-GB"/>
              </w:rPr>
              <w:t>R-squared</w:t>
            </w:r>
          </w:p>
        </w:tc>
        <w:tc>
          <w:tcPr>
            <w:tcW w:w="1129" w:type="dxa"/>
            <w:tcBorders>
              <w:top w:val="nil"/>
              <w:left w:val="nil"/>
              <w:bottom w:val="single" w:sz="4" w:space="0" w:color="auto"/>
              <w:right w:val="single" w:sz="4" w:space="0" w:color="auto"/>
            </w:tcBorders>
            <w:shd w:val="clear" w:color="auto" w:fill="auto"/>
            <w:noWrap/>
            <w:vAlign w:val="center"/>
            <w:hideMark/>
          </w:tcPr>
          <w:p w14:paraId="0B872AD1" w14:textId="77777777" w:rsidR="00186CE3" w:rsidRPr="00B27FE6" w:rsidRDefault="00186CE3" w:rsidP="00E8795E">
            <w:pPr>
              <w:jc w:val="center"/>
              <w:rPr>
                <w:color w:val="000000"/>
                <w:sz w:val="20"/>
                <w:szCs w:val="20"/>
                <w:lang w:val="en-GB"/>
              </w:rPr>
            </w:pPr>
            <w:r w:rsidRPr="00B27FE6">
              <w:rPr>
                <w:color w:val="000000"/>
                <w:sz w:val="20"/>
                <w:szCs w:val="20"/>
                <w:lang w:val="en-GB"/>
              </w:rPr>
              <w:t>0.774</w:t>
            </w:r>
          </w:p>
        </w:tc>
        <w:tc>
          <w:tcPr>
            <w:tcW w:w="1235" w:type="dxa"/>
            <w:tcBorders>
              <w:top w:val="nil"/>
              <w:left w:val="nil"/>
              <w:bottom w:val="single" w:sz="4" w:space="0" w:color="auto"/>
              <w:right w:val="single" w:sz="4" w:space="0" w:color="auto"/>
            </w:tcBorders>
            <w:shd w:val="clear" w:color="auto" w:fill="auto"/>
            <w:noWrap/>
            <w:vAlign w:val="center"/>
            <w:hideMark/>
          </w:tcPr>
          <w:p w14:paraId="5B82460D" w14:textId="77777777" w:rsidR="00186CE3" w:rsidRPr="00B27FE6" w:rsidRDefault="00186CE3" w:rsidP="00E8795E">
            <w:pPr>
              <w:jc w:val="center"/>
              <w:rPr>
                <w:color w:val="000000"/>
                <w:sz w:val="20"/>
                <w:szCs w:val="20"/>
                <w:lang w:val="en-GB"/>
              </w:rPr>
            </w:pPr>
            <w:r w:rsidRPr="00B27FE6">
              <w:rPr>
                <w:color w:val="000000"/>
                <w:sz w:val="20"/>
                <w:szCs w:val="20"/>
                <w:lang w:val="en-GB"/>
              </w:rPr>
              <w:t>0.913</w:t>
            </w:r>
          </w:p>
        </w:tc>
        <w:tc>
          <w:tcPr>
            <w:tcW w:w="1235" w:type="dxa"/>
            <w:tcBorders>
              <w:top w:val="nil"/>
              <w:left w:val="nil"/>
              <w:bottom w:val="single" w:sz="4" w:space="0" w:color="auto"/>
              <w:right w:val="single" w:sz="4" w:space="0" w:color="auto"/>
            </w:tcBorders>
            <w:shd w:val="clear" w:color="auto" w:fill="auto"/>
            <w:noWrap/>
            <w:vAlign w:val="center"/>
            <w:hideMark/>
          </w:tcPr>
          <w:p w14:paraId="2FC64E6B" w14:textId="77777777" w:rsidR="00186CE3" w:rsidRPr="00B27FE6" w:rsidRDefault="00186CE3" w:rsidP="00E8795E">
            <w:pPr>
              <w:jc w:val="center"/>
              <w:rPr>
                <w:color w:val="000000"/>
                <w:sz w:val="20"/>
                <w:szCs w:val="20"/>
                <w:lang w:val="en-GB"/>
              </w:rPr>
            </w:pPr>
            <w:r w:rsidRPr="00B27FE6">
              <w:rPr>
                <w:color w:val="000000"/>
                <w:sz w:val="20"/>
                <w:szCs w:val="20"/>
                <w:lang w:val="en-GB"/>
              </w:rPr>
              <w:t>0.964</w:t>
            </w:r>
          </w:p>
        </w:tc>
        <w:tc>
          <w:tcPr>
            <w:tcW w:w="1129" w:type="dxa"/>
            <w:tcBorders>
              <w:top w:val="nil"/>
              <w:left w:val="nil"/>
              <w:bottom w:val="single" w:sz="4" w:space="0" w:color="auto"/>
              <w:right w:val="single" w:sz="4" w:space="0" w:color="auto"/>
            </w:tcBorders>
            <w:shd w:val="clear" w:color="auto" w:fill="auto"/>
            <w:noWrap/>
            <w:vAlign w:val="center"/>
            <w:hideMark/>
          </w:tcPr>
          <w:p w14:paraId="65BB35B6" w14:textId="77777777" w:rsidR="00186CE3" w:rsidRPr="00B27FE6" w:rsidRDefault="00186CE3" w:rsidP="00E8795E">
            <w:pPr>
              <w:jc w:val="center"/>
              <w:rPr>
                <w:color w:val="000000"/>
                <w:sz w:val="20"/>
                <w:szCs w:val="20"/>
                <w:lang w:val="en-GB"/>
              </w:rPr>
            </w:pPr>
            <w:r w:rsidRPr="00B27FE6">
              <w:rPr>
                <w:color w:val="000000"/>
                <w:sz w:val="20"/>
                <w:szCs w:val="20"/>
                <w:lang w:val="en-GB"/>
              </w:rPr>
              <w:t>0.710</w:t>
            </w:r>
          </w:p>
        </w:tc>
        <w:tc>
          <w:tcPr>
            <w:tcW w:w="1097" w:type="dxa"/>
            <w:tcBorders>
              <w:top w:val="nil"/>
              <w:left w:val="nil"/>
              <w:bottom w:val="single" w:sz="4" w:space="0" w:color="auto"/>
              <w:right w:val="single" w:sz="4" w:space="0" w:color="auto"/>
            </w:tcBorders>
            <w:shd w:val="clear" w:color="auto" w:fill="auto"/>
            <w:noWrap/>
            <w:vAlign w:val="center"/>
            <w:hideMark/>
          </w:tcPr>
          <w:p w14:paraId="5A0874F6" w14:textId="77777777" w:rsidR="00186CE3" w:rsidRPr="00B27FE6" w:rsidRDefault="00186CE3" w:rsidP="00E8795E">
            <w:pPr>
              <w:jc w:val="center"/>
              <w:rPr>
                <w:color w:val="000000"/>
                <w:sz w:val="20"/>
                <w:szCs w:val="20"/>
                <w:lang w:val="en-GB"/>
              </w:rPr>
            </w:pPr>
            <w:r w:rsidRPr="00B27FE6">
              <w:rPr>
                <w:color w:val="000000"/>
                <w:sz w:val="20"/>
                <w:szCs w:val="20"/>
                <w:lang w:val="en-GB"/>
              </w:rPr>
              <w:t>0.743</w:t>
            </w:r>
          </w:p>
        </w:tc>
        <w:tc>
          <w:tcPr>
            <w:tcW w:w="1276" w:type="dxa"/>
            <w:tcBorders>
              <w:top w:val="nil"/>
              <w:left w:val="nil"/>
              <w:bottom w:val="single" w:sz="4" w:space="0" w:color="auto"/>
              <w:right w:val="single" w:sz="8" w:space="0" w:color="auto"/>
            </w:tcBorders>
            <w:shd w:val="clear" w:color="auto" w:fill="auto"/>
            <w:noWrap/>
            <w:vAlign w:val="center"/>
            <w:hideMark/>
          </w:tcPr>
          <w:p w14:paraId="117BE626" w14:textId="77777777" w:rsidR="00186CE3" w:rsidRPr="00B27FE6" w:rsidRDefault="00186CE3" w:rsidP="00E8795E">
            <w:pPr>
              <w:jc w:val="center"/>
              <w:rPr>
                <w:color w:val="000000"/>
                <w:sz w:val="20"/>
                <w:szCs w:val="20"/>
                <w:lang w:val="en-GB"/>
              </w:rPr>
            </w:pPr>
            <w:r w:rsidRPr="00B27FE6">
              <w:rPr>
                <w:color w:val="000000"/>
                <w:sz w:val="20"/>
                <w:szCs w:val="20"/>
                <w:lang w:val="en-GB"/>
              </w:rPr>
              <w:t>0.901</w:t>
            </w:r>
          </w:p>
        </w:tc>
      </w:tr>
      <w:tr w:rsidR="00186CE3" w:rsidRPr="00B27FE6" w14:paraId="6FDB2059" w14:textId="77777777" w:rsidTr="00E8795E">
        <w:trPr>
          <w:trHeight w:val="183"/>
          <w:jc w:val="center"/>
        </w:trPr>
        <w:tc>
          <w:tcPr>
            <w:tcW w:w="1547" w:type="dxa"/>
            <w:tcBorders>
              <w:top w:val="nil"/>
              <w:left w:val="single" w:sz="8" w:space="0" w:color="auto"/>
              <w:bottom w:val="single" w:sz="8" w:space="0" w:color="auto"/>
              <w:right w:val="single" w:sz="8" w:space="0" w:color="auto"/>
            </w:tcBorders>
            <w:shd w:val="clear" w:color="000000" w:fill="D9D9D9"/>
            <w:noWrap/>
            <w:vAlign w:val="center"/>
            <w:hideMark/>
          </w:tcPr>
          <w:p w14:paraId="7A9D2E85" w14:textId="77777777" w:rsidR="00186CE3" w:rsidRPr="00B27FE6" w:rsidRDefault="00186CE3" w:rsidP="00E8795E">
            <w:pPr>
              <w:jc w:val="center"/>
              <w:rPr>
                <w:color w:val="000000"/>
                <w:sz w:val="20"/>
                <w:szCs w:val="20"/>
                <w:lang w:val="en-GB"/>
              </w:rPr>
            </w:pPr>
            <w:r w:rsidRPr="00B27FE6">
              <w:rPr>
                <w:color w:val="000000"/>
                <w:sz w:val="20"/>
                <w:szCs w:val="20"/>
                <w:lang w:val="en-GB"/>
              </w:rPr>
              <w:t>Hausman test</w:t>
            </w:r>
          </w:p>
        </w:tc>
        <w:tc>
          <w:tcPr>
            <w:tcW w:w="1129" w:type="dxa"/>
            <w:tcBorders>
              <w:top w:val="nil"/>
              <w:left w:val="nil"/>
              <w:bottom w:val="single" w:sz="8" w:space="0" w:color="auto"/>
              <w:right w:val="single" w:sz="4" w:space="0" w:color="auto"/>
            </w:tcBorders>
            <w:shd w:val="clear" w:color="auto" w:fill="auto"/>
            <w:noWrap/>
            <w:vAlign w:val="center"/>
            <w:hideMark/>
          </w:tcPr>
          <w:p w14:paraId="7B0EA93C" w14:textId="77777777" w:rsidR="00186CE3" w:rsidRPr="00B27FE6" w:rsidRDefault="00186CE3" w:rsidP="00E8795E">
            <w:pPr>
              <w:jc w:val="center"/>
              <w:rPr>
                <w:color w:val="000000"/>
                <w:sz w:val="20"/>
                <w:szCs w:val="20"/>
                <w:lang w:val="en-GB"/>
              </w:rPr>
            </w:pPr>
            <w:r w:rsidRPr="00B27FE6">
              <w:rPr>
                <w:color w:val="000000"/>
                <w:sz w:val="20"/>
                <w:szCs w:val="20"/>
                <w:lang w:val="en-GB"/>
              </w:rPr>
              <w:t>45.46***</w:t>
            </w:r>
          </w:p>
        </w:tc>
        <w:tc>
          <w:tcPr>
            <w:tcW w:w="1235" w:type="dxa"/>
            <w:tcBorders>
              <w:top w:val="nil"/>
              <w:left w:val="nil"/>
              <w:bottom w:val="single" w:sz="8" w:space="0" w:color="auto"/>
              <w:right w:val="single" w:sz="4" w:space="0" w:color="auto"/>
            </w:tcBorders>
            <w:shd w:val="clear" w:color="auto" w:fill="auto"/>
            <w:noWrap/>
            <w:vAlign w:val="center"/>
            <w:hideMark/>
          </w:tcPr>
          <w:p w14:paraId="7C7F6BFD" w14:textId="77777777" w:rsidR="00186CE3" w:rsidRPr="00B27FE6" w:rsidRDefault="00186CE3" w:rsidP="00E8795E">
            <w:pPr>
              <w:jc w:val="center"/>
              <w:rPr>
                <w:color w:val="000000"/>
                <w:sz w:val="20"/>
                <w:szCs w:val="20"/>
                <w:lang w:val="en-GB"/>
              </w:rPr>
            </w:pPr>
            <w:r w:rsidRPr="00B27FE6">
              <w:rPr>
                <w:color w:val="000000"/>
                <w:sz w:val="20"/>
                <w:szCs w:val="20"/>
                <w:lang w:val="en-GB"/>
              </w:rPr>
              <w:t>19.56***</w:t>
            </w:r>
          </w:p>
        </w:tc>
        <w:tc>
          <w:tcPr>
            <w:tcW w:w="1235" w:type="dxa"/>
            <w:tcBorders>
              <w:top w:val="nil"/>
              <w:left w:val="nil"/>
              <w:bottom w:val="single" w:sz="8" w:space="0" w:color="auto"/>
              <w:right w:val="single" w:sz="4" w:space="0" w:color="auto"/>
            </w:tcBorders>
            <w:shd w:val="clear" w:color="auto" w:fill="auto"/>
            <w:noWrap/>
            <w:vAlign w:val="center"/>
            <w:hideMark/>
          </w:tcPr>
          <w:p w14:paraId="3F5EB93A" w14:textId="77777777" w:rsidR="00186CE3" w:rsidRPr="00B27FE6" w:rsidRDefault="00186CE3" w:rsidP="00E8795E">
            <w:pPr>
              <w:jc w:val="center"/>
              <w:rPr>
                <w:color w:val="000000"/>
                <w:sz w:val="20"/>
                <w:szCs w:val="20"/>
                <w:lang w:val="en-GB"/>
              </w:rPr>
            </w:pPr>
            <w:r w:rsidRPr="00B27FE6">
              <w:rPr>
                <w:color w:val="000000"/>
                <w:sz w:val="20"/>
                <w:szCs w:val="20"/>
                <w:lang w:val="en-GB"/>
              </w:rPr>
              <w:t>63.88***</w:t>
            </w:r>
          </w:p>
        </w:tc>
        <w:tc>
          <w:tcPr>
            <w:tcW w:w="1129" w:type="dxa"/>
            <w:tcBorders>
              <w:top w:val="nil"/>
              <w:left w:val="nil"/>
              <w:bottom w:val="single" w:sz="8" w:space="0" w:color="auto"/>
              <w:right w:val="single" w:sz="4" w:space="0" w:color="auto"/>
            </w:tcBorders>
            <w:shd w:val="clear" w:color="auto" w:fill="auto"/>
            <w:noWrap/>
            <w:vAlign w:val="center"/>
            <w:hideMark/>
          </w:tcPr>
          <w:p w14:paraId="2FF4CAB3" w14:textId="77777777" w:rsidR="00186CE3" w:rsidRPr="00B27FE6" w:rsidRDefault="00186CE3" w:rsidP="00E8795E">
            <w:pPr>
              <w:jc w:val="center"/>
              <w:rPr>
                <w:color w:val="000000"/>
                <w:sz w:val="20"/>
                <w:szCs w:val="20"/>
                <w:lang w:val="en-GB"/>
              </w:rPr>
            </w:pPr>
            <w:r w:rsidRPr="00B27FE6">
              <w:rPr>
                <w:color w:val="000000"/>
                <w:sz w:val="20"/>
                <w:szCs w:val="20"/>
                <w:lang w:val="en-GB"/>
              </w:rPr>
              <w:t>14.88**</w:t>
            </w:r>
          </w:p>
        </w:tc>
        <w:tc>
          <w:tcPr>
            <w:tcW w:w="1097" w:type="dxa"/>
            <w:tcBorders>
              <w:top w:val="nil"/>
              <w:left w:val="nil"/>
              <w:bottom w:val="single" w:sz="8" w:space="0" w:color="auto"/>
              <w:right w:val="single" w:sz="4" w:space="0" w:color="auto"/>
            </w:tcBorders>
            <w:shd w:val="clear" w:color="auto" w:fill="auto"/>
            <w:noWrap/>
            <w:vAlign w:val="center"/>
            <w:hideMark/>
          </w:tcPr>
          <w:p w14:paraId="5D110CB1" w14:textId="77777777" w:rsidR="00186CE3" w:rsidRPr="00B27FE6" w:rsidRDefault="00186CE3" w:rsidP="00E8795E">
            <w:pPr>
              <w:jc w:val="center"/>
              <w:rPr>
                <w:color w:val="000000"/>
                <w:sz w:val="20"/>
                <w:szCs w:val="20"/>
                <w:lang w:val="en-GB"/>
              </w:rPr>
            </w:pPr>
            <w:r w:rsidRPr="00B27FE6">
              <w:rPr>
                <w:color w:val="000000"/>
                <w:sz w:val="20"/>
                <w:szCs w:val="20"/>
                <w:lang w:val="en-GB"/>
              </w:rPr>
              <w:t>16.14**</w:t>
            </w:r>
          </w:p>
        </w:tc>
        <w:tc>
          <w:tcPr>
            <w:tcW w:w="1276" w:type="dxa"/>
            <w:tcBorders>
              <w:top w:val="nil"/>
              <w:left w:val="nil"/>
              <w:bottom w:val="single" w:sz="8" w:space="0" w:color="auto"/>
              <w:right w:val="single" w:sz="8" w:space="0" w:color="auto"/>
            </w:tcBorders>
            <w:shd w:val="clear" w:color="auto" w:fill="auto"/>
            <w:noWrap/>
            <w:vAlign w:val="center"/>
            <w:hideMark/>
          </w:tcPr>
          <w:p w14:paraId="7220D011" w14:textId="77777777" w:rsidR="00186CE3" w:rsidRPr="00B27FE6" w:rsidRDefault="00186CE3" w:rsidP="00E8795E">
            <w:pPr>
              <w:jc w:val="center"/>
              <w:rPr>
                <w:color w:val="000000"/>
                <w:sz w:val="20"/>
                <w:szCs w:val="20"/>
                <w:lang w:val="en-GB"/>
              </w:rPr>
            </w:pPr>
            <w:r w:rsidRPr="00B27FE6">
              <w:rPr>
                <w:color w:val="000000"/>
                <w:sz w:val="20"/>
                <w:szCs w:val="20"/>
                <w:lang w:val="en-GB"/>
              </w:rPr>
              <w:t>133.90***</w:t>
            </w:r>
          </w:p>
        </w:tc>
      </w:tr>
    </w:tbl>
    <w:p w14:paraId="4474E00E" w14:textId="77777777" w:rsidR="00186CE3" w:rsidRDefault="00186CE3" w:rsidP="00186CE3">
      <w:pPr>
        <w:jc w:val="both"/>
      </w:pPr>
    </w:p>
    <w:p w14:paraId="52C45E50" w14:textId="77777777" w:rsidR="00186CE3" w:rsidRDefault="00186CE3" w:rsidP="00186CE3">
      <w:pPr>
        <w:rPr>
          <w:sz w:val="20"/>
        </w:rPr>
      </w:pPr>
      <w:r>
        <w:rPr>
          <w:sz w:val="20"/>
        </w:rPr>
        <w:t xml:space="preserve">Note: </w:t>
      </w:r>
      <w:r w:rsidRPr="00B27FE6">
        <w:rPr>
          <w:sz w:val="20"/>
        </w:rPr>
        <w:t>*** p&lt;0.01, ** p&lt;0.05, * p&lt;0.1</w:t>
      </w:r>
      <w:r>
        <w:rPr>
          <w:sz w:val="20"/>
        </w:rPr>
        <w:t>.</w:t>
      </w:r>
    </w:p>
    <w:p w14:paraId="52630C1C" w14:textId="77777777" w:rsidR="00186CE3" w:rsidRPr="001106FC" w:rsidRDefault="00186CE3" w:rsidP="00186CE3">
      <w:pPr>
        <w:rPr>
          <w:sz w:val="20"/>
        </w:rPr>
      </w:pPr>
      <w:r>
        <w:rPr>
          <w:sz w:val="20"/>
        </w:rPr>
        <w:t>Source: Authors’ calculation.</w:t>
      </w:r>
    </w:p>
    <w:p w14:paraId="3CD48156" w14:textId="77777777" w:rsidR="00186CE3" w:rsidRPr="006833C4" w:rsidRDefault="00186CE3" w:rsidP="00186CE3">
      <w:pPr>
        <w:rPr>
          <w:lang w:val="en-GB"/>
        </w:rPr>
      </w:pPr>
    </w:p>
    <w:p w14:paraId="3F72A10D" w14:textId="77777777" w:rsidR="00186CE3" w:rsidRPr="00DD03EF" w:rsidRDefault="00186CE3" w:rsidP="00186CE3">
      <w:pPr>
        <w:pStyle w:val="ListParagraph"/>
        <w:numPr>
          <w:ilvl w:val="0"/>
          <w:numId w:val="19"/>
        </w:numPr>
        <w:ind w:left="0" w:firstLine="0"/>
        <w:jc w:val="both"/>
        <w:rPr>
          <w:lang w:val="en-GB"/>
        </w:rPr>
      </w:pPr>
      <w:r w:rsidRPr="006833C4">
        <w:rPr>
          <w:lang w:val="en-GB"/>
        </w:rPr>
        <w:t xml:space="preserve">The research </w:t>
      </w:r>
      <w:r>
        <w:rPr>
          <w:lang w:val="en-GB"/>
        </w:rPr>
        <w:t>confirmed</w:t>
      </w:r>
      <w:r w:rsidRPr="006833C4">
        <w:rPr>
          <w:lang w:val="en-GB"/>
        </w:rPr>
        <w:t xml:space="preserve"> that</w:t>
      </w:r>
      <w:r>
        <w:rPr>
          <w:lang w:val="en-GB"/>
        </w:rPr>
        <w:t>,</w:t>
      </w:r>
      <w:r w:rsidRPr="006833C4">
        <w:rPr>
          <w:lang w:val="en-GB"/>
        </w:rPr>
        <w:t xml:space="preserve"> </w:t>
      </w:r>
      <w:r>
        <w:rPr>
          <w:lang w:val="en-GB"/>
        </w:rPr>
        <w:t>throughout</w:t>
      </w:r>
      <w:r w:rsidRPr="006833C4">
        <w:rPr>
          <w:lang w:val="en-GB"/>
        </w:rPr>
        <w:t xml:space="preserve"> the analysed period</w:t>
      </w:r>
      <w:r>
        <w:rPr>
          <w:lang w:val="en-GB"/>
        </w:rPr>
        <w:t>,</w:t>
      </w:r>
      <w:r w:rsidRPr="006833C4">
        <w:rPr>
          <w:lang w:val="en-GB"/>
        </w:rPr>
        <w:t xml:space="preserve"> the disequilibrium prices </w:t>
      </w:r>
      <w:r>
        <w:rPr>
          <w:lang w:val="en-GB"/>
        </w:rPr>
        <w:t>were</w:t>
      </w:r>
      <w:r w:rsidRPr="006833C4">
        <w:rPr>
          <w:lang w:val="en-GB"/>
        </w:rPr>
        <w:t xml:space="preserve"> the main source of the Eurozone’s cross-country inequality. </w:t>
      </w:r>
      <w:r>
        <w:rPr>
          <w:lang w:val="en-GB"/>
        </w:rPr>
        <w:t>T</w:t>
      </w:r>
      <w:r w:rsidRPr="006833C4">
        <w:rPr>
          <w:lang w:val="en-GB"/>
        </w:rPr>
        <w:t xml:space="preserve">he study showed that the general characteristics of the individual member states are </w:t>
      </w:r>
      <w:r>
        <w:rPr>
          <w:lang w:val="en-GB"/>
        </w:rPr>
        <w:t xml:space="preserve">a </w:t>
      </w:r>
      <w:r w:rsidRPr="006833C4">
        <w:rPr>
          <w:lang w:val="en-GB"/>
        </w:rPr>
        <w:t>crucial factor determin</w:t>
      </w:r>
      <w:r>
        <w:rPr>
          <w:lang w:val="en-GB"/>
        </w:rPr>
        <w:t>ing</w:t>
      </w:r>
      <w:r w:rsidRPr="006833C4">
        <w:rPr>
          <w:lang w:val="en-GB"/>
        </w:rPr>
        <w:t xml:space="preserve"> the country’s utilization of the existing </w:t>
      </w:r>
      <w:r>
        <w:rPr>
          <w:lang w:val="en-GB"/>
        </w:rPr>
        <w:t>price-</w:t>
      </w:r>
      <w:r w:rsidRPr="006833C4">
        <w:rPr>
          <w:lang w:val="en-GB"/>
        </w:rPr>
        <w:t>market disequilibri</w:t>
      </w:r>
      <w:r>
        <w:rPr>
          <w:lang w:val="en-GB"/>
        </w:rPr>
        <w:t>a</w:t>
      </w:r>
      <w:r w:rsidRPr="006833C4">
        <w:rPr>
          <w:lang w:val="en-GB"/>
        </w:rPr>
        <w:t xml:space="preserve">. The countries </w:t>
      </w:r>
      <w:r>
        <w:rPr>
          <w:lang w:val="en-GB"/>
        </w:rPr>
        <w:t xml:space="preserve">proved to be differentiable </w:t>
      </w:r>
      <w:r w:rsidRPr="006833C4">
        <w:rPr>
          <w:lang w:val="en-GB"/>
        </w:rPr>
        <w:t>with regards to the</w:t>
      </w:r>
      <w:r>
        <w:rPr>
          <w:lang w:val="en-GB"/>
        </w:rPr>
        <w:t>ir</w:t>
      </w:r>
      <w:r w:rsidRPr="006833C4">
        <w:rPr>
          <w:lang w:val="en-GB"/>
        </w:rPr>
        <w:t xml:space="preserve"> price</w:t>
      </w:r>
      <w:r>
        <w:rPr>
          <w:lang w:val="en-GB"/>
        </w:rPr>
        <w:t xml:space="preserve"> positions </w:t>
      </w:r>
      <w:r w:rsidRPr="006833C4">
        <w:rPr>
          <w:lang w:val="en-GB"/>
        </w:rPr>
        <w:t xml:space="preserve">and </w:t>
      </w:r>
      <w:r>
        <w:rPr>
          <w:lang w:val="en-GB"/>
        </w:rPr>
        <w:t>resulting</w:t>
      </w:r>
      <w:r w:rsidRPr="006833C4">
        <w:rPr>
          <w:lang w:val="en-GB"/>
        </w:rPr>
        <w:t xml:space="preserve"> effects. Accordingly, the </w:t>
      </w:r>
      <w:r>
        <w:rPr>
          <w:lang w:val="en-GB"/>
        </w:rPr>
        <w:t>countries</w:t>
      </w:r>
      <w:r w:rsidRPr="006833C4">
        <w:rPr>
          <w:lang w:val="en-GB"/>
        </w:rPr>
        <w:t xml:space="preserve"> </w:t>
      </w:r>
      <w:r>
        <w:rPr>
          <w:lang w:val="en-GB"/>
        </w:rPr>
        <w:t xml:space="preserve">of smaller size </w:t>
      </w:r>
      <w:r w:rsidRPr="006833C4">
        <w:rPr>
          <w:lang w:val="en-GB"/>
        </w:rPr>
        <w:t xml:space="preserve">(measured by </w:t>
      </w:r>
      <m:oMath>
        <m:r>
          <w:rPr>
            <w:rFonts w:ascii="Cambria Math" w:hAnsi="Cambria Math"/>
            <w:lang w:val="en-GB"/>
          </w:rPr>
          <m:t>GDP</m:t>
        </m:r>
      </m:oMath>
      <w:r w:rsidRPr="006833C4">
        <w:rPr>
          <w:lang w:val="en-GB"/>
        </w:rPr>
        <w:t xml:space="preserve">) and </w:t>
      </w:r>
      <w:r>
        <w:rPr>
          <w:lang w:val="en-GB"/>
        </w:rPr>
        <w:t>countries with higher capital intensity exhibited</w:t>
      </w:r>
      <w:r w:rsidRPr="006833C4">
        <w:rPr>
          <w:lang w:val="en-GB"/>
        </w:rPr>
        <w:t xml:space="preserve"> their capability </w:t>
      </w:r>
      <w:r>
        <w:rPr>
          <w:lang w:val="en-GB"/>
        </w:rPr>
        <w:t>in</w:t>
      </w:r>
      <w:r w:rsidRPr="006833C4">
        <w:rPr>
          <w:lang w:val="en-GB"/>
        </w:rPr>
        <w:t xml:space="preserve"> obtaining higher prices for their commodities</w:t>
      </w:r>
      <w:r>
        <w:rPr>
          <w:lang w:val="en-GB"/>
        </w:rPr>
        <w:t>. This</w:t>
      </w:r>
      <w:r w:rsidRPr="006833C4">
        <w:rPr>
          <w:lang w:val="en-GB"/>
        </w:rPr>
        <w:t xml:space="preserve">, in turn, positioned them </w:t>
      </w:r>
      <w:r>
        <w:rPr>
          <w:lang w:val="en-GB"/>
        </w:rPr>
        <w:t xml:space="preserve">in an </w:t>
      </w:r>
      <w:r w:rsidRPr="006833C4">
        <w:rPr>
          <w:lang w:val="en-GB"/>
        </w:rPr>
        <w:t>above</w:t>
      </w:r>
      <w:r>
        <w:rPr>
          <w:lang w:val="en-GB"/>
        </w:rPr>
        <w:t>-</w:t>
      </w:r>
      <w:r w:rsidRPr="006833C4">
        <w:rPr>
          <w:lang w:val="en-GB"/>
        </w:rPr>
        <w:t>average</w:t>
      </w:r>
      <w:r>
        <w:rPr>
          <w:lang w:val="en-GB"/>
        </w:rPr>
        <w:t xml:space="preserve"> position</w:t>
      </w:r>
      <w:r w:rsidRPr="006833C4">
        <w:rPr>
          <w:lang w:val="en-GB"/>
        </w:rPr>
        <w:t xml:space="preserve"> </w:t>
      </w:r>
      <w:r>
        <w:rPr>
          <w:lang w:val="en-GB"/>
        </w:rPr>
        <w:t>regarding reaping the</w:t>
      </w:r>
      <w:r w:rsidRPr="006833C4">
        <w:rPr>
          <w:lang w:val="en-GB"/>
        </w:rPr>
        <w:t xml:space="preserve"> </w:t>
      </w:r>
      <w:r>
        <w:rPr>
          <w:lang w:val="en-GB"/>
        </w:rPr>
        <w:t xml:space="preserve">benefits arising from the </w:t>
      </w:r>
      <w:r w:rsidRPr="006833C4">
        <w:rPr>
          <w:lang w:val="en-GB"/>
        </w:rPr>
        <w:t>Eurozone</w:t>
      </w:r>
      <w:r>
        <w:rPr>
          <w:lang w:val="en-GB"/>
        </w:rPr>
        <w:t xml:space="preserve">’s market (price) </w:t>
      </w:r>
      <w:r w:rsidRPr="006833C4">
        <w:rPr>
          <w:lang w:val="en-GB"/>
        </w:rPr>
        <w:t>disequilibri</w:t>
      </w:r>
      <w:r>
        <w:rPr>
          <w:lang w:val="en-GB"/>
        </w:rPr>
        <w:t>a</w:t>
      </w:r>
      <w:r w:rsidRPr="006833C4">
        <w:rPr>
          <w:lang w:val="en-GB"/>
        </w:rPr>
        <w:t>. The analysis confirmed the results of authors’ previous study (</w:t>
      </w:r>
      <w:r>
        <w:rPr>
          <w:lang w:val="en-GB"/>
        </w:rPr>
        <w:t xml:space="preserve">Rubinić and </w:t>
      </w:r>
      <w:proofErr w:type="spellStart"/>
      <w:r>
        <w:rPr>
          <w:lang w:val="en-GB"/>
        </w:rPr>
        <w:t>Tajnikar</w:t>
      </w:r>
      <w:proofErr w:type="spellEnd"/>
      <w:r>
        <w:rPr>
          <w:lang w:val="en-GB"/>
        </w:rPr>
        <w:t>, 2019b</w:t>
      </w:r>
      <w:r w:rsidRPr="006833C4">
        <w:rPr>
          <w:lang w:val="en-GB"/>
        </w:rPr>
        <w:t>)</w:t>
      </w:r>
      <w:r>
        <w:rPr>
          <w:lang w:val="en-GB"/>
        </w:rPr>
        <w:t>,</w:t>
      </w:r>
      <w:r w:rsidRPr="006833C4">
        <w:rPr>
          <w:lang w:val="en-GB"/>
        </w:rPr>
        <w:t xml:space="preserve"> by showing the strong deteriorating bias </w:t>
      </w:r>
      <w:r>
        <w:rPr>
          <w:lang w:val="en-GB"/>
        </w:rPr>
        <w:t>of</w:t>
      </w:r>
      <w:r w:rsidRPr="006833C4">
        <w:rPr>
          <w:lang w:val="en-GB"/>
        </w:rPr>
        <w:t xml:space="preserve"> price position of all Eurozone countries</w:t>
      </w:r>
      <w:r>
        <w:rPr>
          <w:lang w:val="en-GB"/>
        </w:rPr>
        <w:t>. The exception to this rule was t</w:t>
      </w:r>
      <w:r w:rsidRPr="00DD03EF">
        <w:rPr>
          <w:lang w:val="en-GB"/>
        </w:rPr>
        <w:t xml:space="preserve">he outbreak of the global downturn </w:t>
      </w:r>
      <w:r>
        <w:rPr>
          <w:lang w:val="en-GB"/>
        </w:rPr>
        <w:t>in</w:t>
      </w:r>
      <w:r w:rsidRPr="00DD03EF">
        <w:rPr>
          <w:lang w:val="en-GB"/>
        </w:rPr>
        <w:t xml:space="preserve"> 2009</w:t>
      </w:r>
      <w:r>
        <w:rPr>
          <w:lang w:val="en-GB"/>
        </w:rPr>
        <w:t>,</w:t>
      </w:r>
      <w:r w:rsidRPr="00DD03EF">
        <w:rPr>
          <w:lang w:val="en-GB"/>
        </w:rPr>
        <w:t xml:space="preserve"> </w:t>
      </w:r>
      <w:r>
        <w:rPr>
          <w:lang w:val="en-GB"/>
        </w:rPr>
        <w:t xml:space="preserve">which (although insignificantly) </w:t>
      </w:r>
      <w:r w:rsidRPr="00DD03EF">
        <w:rPr>
          <w:lang w:val="en-GB"/>
        </w:rPr>
        <w:t>improved the</w:t>
      </w:r>
      <w:r>
        <w:rPr>
          <w:lang w:val="en-GB"/>
        </w:rPr>
        <w:t xml:space="preserve"> Eurozone’s</w:t>
      </w:r>
      <w:r w:rsidRPr="00DD03EF">
        <w:rPr>
          <w:lang w:val="en-GB"/>
        </w:rPr>
        <w:t xml:space="preserve"> </w:t>
      </w:r>
      <w:r>
        <w:rPr>
          <w:lang w:val="en-GB"/>
        </w:rPr>
        <w:t xml:space="preserve">countries’ </w:t>
      </w:r>
      <w:r w:rsidRPr="00DD03EF">
        <w:rPr>
          <w:lang w:val="en-GB"/>
        </w:rPr>
        <w:t>price position</w:t>
      </w:r>
      <w:r>
        <w:rPr>
          <w:lang w:val="en-GB"/>
        </w:rPr>
        <w:t>s</w:t>
      </w:r>
      <w:r w:rsidRPr="00DD03EF">
        <w:rPr>
          <w:lang w:val="en-GB"/>
        </w:rPr>
        <w:t>.</w:t>
      </w:r>
    </w:p>
    <w:p w14:paraId="2B993D46" w14:textId="77777777" w:rsidR="00186CE3" w:rsidRPr="006833C4" w:rsidRDefault="00186CE3" w:rsidP="00186CE3">
      <w:pPr>
        <w:rPr>
          <w:lang w:val="en-GB"/>
        </w:rPr>
      </w:pPr>
    </w:p>
    <w:p w14:paraId="30D08032" w14:textId="77777777" w:rsidR="00186CE3" w:rsidRPr="006833C4" w:rsidRDefault="00186CE3" w:rsidP="00186CE3">
      <w:pPr>
        <w:jc w:val="both"/>
        <w:rPr>
          <w:lang w:val="en-GB"/>
        </w:rPr>
      </w:pPr>
      <w:r>
        <w:rPr>
          <w:lang w:val="en-GB"/>
        </w:rPr>
        <w:t>With regards to</w:t>
      </w:r>
      <w:r w:rsidRPr="006833C4">
        <w:rPr>
          <w:lang w:val="en-GB"/>
        </w:rPr>
        <w:t xml:space="preserve"> the influence of the sectoral composition on the price position</w:t>
      </w:r>
      <w:r>
        <w:rPr>
          <w:lang w:val="en-GB"/>
        </w:rPr>
        <w:t>s</w:t>
      </w:r>
      <w:r w:rsidRPr="006833C4">
        <w:rPr>
          <w:lang w:val="en-GB"/>
        </w:rPr>
        <w:t xml:space="preserve">, </w:t>
      </w:r>
      <w:r>
        <w:rPr>
          <w:lang w:val="en-GB"/>
        </w:rPr>
        <w:t xml:space="preserve">the increase in the economy’s manufacturing share has a positive effect. Contrarily, </w:t>
      </w:r>
      <w:r w:rsidRPr="006833C4">
        <w:rPr>
          <w:rFonts w:ascii="TimesNewRomanPSMT" w:hAnsi="TimesNewRomanPSMT" w:cs="TimesNewRomanPSMT"/>
          <w:color w:val="000000"/>
          <w:lang w:val="en-GB"/>
        </w:rPr>
        <w:t xml:space="preserve">the increase in the shares of </w:t>
      </w:r>
      <w:r>
        <w:rPr>
          <w:lang w:val="en-GB"/>
        </w:rPr>
        <w:t xml:space="preserve">construction and public sector </w:t>
      </w:r>
      <w:r w:rsidRPr="006833C4">
        <w:rPr>
          <w:rFonts w:ascii="TimesNewRomanPSMT" w:hAnsi="TimesNewRomanPSMT" w:cs="TimesNewRomanPSMT"/>
          <w:color w:val="000000"/>
          <w:lang w:val="en-GB"/>
        </w:rPr>
        <w:t xml:space="preserve">within the </w:t>
      </w:r>
      <w:r>
        <w:rPr>
          <w:rFonts w:ascii="TimesNewRomanPSMT" w:hAnsi="TimesNewRomanPSMT" w:cs="TimesNewRomanPSMT"/>
          <w:color w:val="000000"/>
          <w:lang w:val="en-GB"/>
        </w:rPr>
        <w:t xml:space="preserve">economy’s </w:t>
      </w:r>
      <w:r w:rsidRPr="006833C4">
        <w:rPr>
          <w:rFonts w:ascii="TimesNewRomanPSMT" w:hAnsi="TimesNewRomanPSMT" w:cs="TimesNewRomanPSMT"/>
          <w:color w:val="000000"/>
          <w:lang w:val="en-GB"/>
        </w:rPr>
        <w:t xml:space="preserve">structure has decreased </w:t>
      </w:r>
      <w:r>
        <w:rPr>
          <w:rFonts w:ascii="TimesNewRomanPSMT" w:hAnsi="TimesNewRomanPSMT" w:cs="TimesNewRomanPSMT"/>
          <w:color w:val="000000"/>
          <w:lang w:val="en-GB"/>
        </w:rPr>
        <w:t xml:space="preserve">the </w:t>
      </w:r>
      <w:r w:rsidRPr="006833C4">
        <w:rPr>
          <w:rFonts w:ascii="TimesNewRomanPSMT" w:hAnsi="TimesNewRomanPSMT" w:cs="TimesNewRomanPSMT"/>
          <w:color w:val="000000"/>
          <w:lang w:val="en-GB"/>
        </w:rPr>
        <w:lastRenderedPageBreak/>
        <w:t>respective country’s price position.</w:t>
      </w:r>
      <w:r>
        <w:rPr>
          <w:rFonts w:ascii="TimesNewRomanPSMT" w:hAnsi="TimesNewRomanPSMT" w:cs="TimesNewRomanPSMT"/>
          <w:color w:val="000000"/>
          <w:lang w:val="en-GB"/>
        </w:rPr>
        <w:t xml:space="preserve"> The influence of the agriculture and service sectors remained unidentified. </w:t>
      </w:r>
      <w:r w:rsidRPr="006833C4">
        <w:rPr>
          <w:rFonts w:ascii="TimesNewRomanPSMT" w:hAnsi="TimesNewRomanPSMT" w:cs="TimesNewRomanPSMT"/>
          <w:color w:val="000000"/>
          <w:lang w:val="en-GB"/>
        </w:rPr>
        <w:t xml:space="preserve">The performed analysis managed </w:t>
      </w:r>
      <w:r w:rsidRPr="006833C4">
        <w:rPr>
          <w:lang w:val="en-GB"/>
        </w:rPr>
        <w:t>to explain as much as 8</w:t>
      </w:r>
      <w:r>
        <w:rPr>
          <w:lang w:val="en-GB"/>
        </w:rPr>
        <w:t>7</w:t>
      </w:r>
      <w:r w:rsidRPr="006833C4">
        <w:rPr>
          <w:lang w:val="en-GB"/>
        </w:rPr>
        <w:t>.</w:t>
      </w:r>
      <w:r>
        <w:rPr>
          <w:lang w:val="en-GB"/>
        </w:rPr>
        <w:t>3</w:t>
      </w:r>
      <w:r w:rsidRPr="006833C4">
        <w:rPr>
          <w:lang w:val="en-GB"/>
        </w:rPr>
        <w:t>% of the countries’ price position</w:t>
      </w:r>
      <w:r>
        <w:rPr>
          <w:lang w:val="en-GB"/>
        </w:rPr>
        <w:t>s</w:t>
      </w:r>
      <w:r w:rsidRPr="006833C4">
        <w:rPr>
          <w:lang w:val="en-GB"/>
        </w:rPr>
        <w:t xml:space="preserve"> variation </w:t>
      </w:r>
      <w:r>
        <w:rPr>
          <w:lang w:val="en-GB"/>
        </w:rPr>
        <w:t>effected by</w:t>
      </w:r>
      <w:r w:rsidRPr="006833C4">
        <w:rPr>
          <w:lang w:val="en-GB"/>
        </w:rPr>
        <w:t xml:space="preserve"> the sectoral composition influence.</w:t>
      </w:r>
    </w:p>
    <w:p w14:paraId="49D2C8DE" w14:textId="77777777" w:rsidR="00186CE3" w:rsidRPr="006833C4" w:rsidRDefault="00186CE3" w:rsidP="00186CE3">
      <w:pPr>
        <w:rPr>
          <w:lang w:val="en-GB"/>
        </w:rPr>
      </w:pPr>
    </w:p>
    <w:p w14:paraId="3670CA29" w14:textId="77777777" w:rsidR="00186CE3" w:rsidRPr="006833C4" w:rsidRDefault="00186CE3" w:rsidP="00186CE3">
      <w:pPr>
        <w:jc w:val="both"/>
        <w:rPr>
          <w:lang w:val="en-GB"/>
        </w:rPr>
      </w:pPr>
      <w:r w:rsidRPr="006833C4">
        <w:rPr>
          <w:lang w:val="en-GB"/>
        </w:rPr>
        <w:t xml:space="preserve">Similarly, </w:t>
      </w:r>
      <w:r>
        <w:rPr>
          <w:lang w:val="en-GB"/>
        </w:rPr>
        <w:t xml:space="preserve">a </w:t>
      </w:r>
      <w:r w:rsidRPr="006833C4">
        <w:rPr>
          <w:lang w:val="en-GB"/>
        </w:rPr>
        <w:t>high explanat</w:t>
      </w:r>
      <w:r>
        <w:rPr>
          <w:lang w:val="en-GB"/>
        </w:rPr>
        <w:t>ory power</w:t>
      </w:r>
      <w:r w:rsidRPr="006833C4">
        <w:rPr>
          <w:lang w:val="en-GB"/>
        </w:rPr>
        <w:t xml:space="preserve"> </w:t>
      </w:r>
      <w:r>
        <w:rPr>
          <w:lang w:val="en-GB"/>
        </w:rPr>
        <w:t xml:space="preserve">with respect to the </w:t>
      </w:r>
      <w:r w:rsidRPr="006833C4">
        <w:rPr>
          <w:lang w:val="en-GB"/>
        </w:rPr>
        <w:t>countries’ price position</w:t>
      </w:r>
      <w:r>
        <w:rPr>
          <w:lang w:val="en-GB"/>
        </w:rPr>
        <w:t>s</w:t>
      </w:r>
      <w:r w:rsidRPr="006833C4">
        <w:rPr>
          <w:lang w:val="en-GB"/>
        </w:rPr>
        <w:t xml:space="preserve"> variability is obtained in the case of technological composition of national economies. In this case the result was rather surprising given that the analysis has shown that the higher share of </w:t>
      </w:r>
      <w:r>
        <w:rPr>
          <w:lang w:val="en-GB"/>
        </w:rPr>
        <w:t>less</w:t>
      </w:r>
      <w:r w:rsidRPr="006833C4">
        <w:rPr>
          <w:lang w:val="en-GB"/>
        </w:rPr>
        <w:t xml:space="preserve"> </w:t>
      </w:r>
      <w:r>
        <w:rPr>
          <w:lang w:val="en-GB"/>
        </w:rPr>
        <w:t>developed</w:t>
      </w:r>
      <w:r w:rsidRPr="006833C4">
        <w:rPr>
          <w:lang w:val="en-GB"/>
        </w:rPr>
        <w:t xml:space="preserve"> technolog</w:t>
      </w:r>
      <w:r>
        <w:rPr>
          <w:lang w:val="en-GB"/>
        </w:rPr>
        <w:t>ies advances the</w:t>
      </w:r>
      <w:r w:rsidRPr="006833C4">
        <w:rPr>
          <w:lang w:val="en-GB"/>
        </w:rPr>
        <w:t xml:space="preserve"> </w:t>
      </w:r>
      <w:r>
        <w:rPr>
          <w:lang w:val="en-GB"/>
        </w:rPr>
        <w:t xml:space="preserve">countries’ </w:t>
      </w:r>
      <w:r w:rsidRPr="006833C4">
        <w:rPr>
          <w:lang w:val="en-GB"/>
        </w:rPr>
        <w:t xml:space="preserve">price </w:t>
      </w:r>
      <w:r>
        <w:rPr>
          <w:lang w:val="en-GB"/>
        </w:rPr>
        <w:t>positions</w:t>
      </w:r>
      <w:r w:rsidRPr="006833C4">
        <w:rPr>
          <w:lang w:val="en-GB"/>
        </w:rPr>
        <w:t>.</w:t>
      </w:r>
    </w:p>
    <w:p w14:paraId="200854BF" w14:textId="77777777" w:rsidR="00186CE3" w:rsidRPr="006833C4" w:rsidRDefault="00186CE3" w:rsidP="00186CE3">
      <w:pPr>
        <w:rPr>
          <w:lang w:val="en-GB"/>
        </w:rPr>
      </w:pPr>
    </w:p>
    <w:p w14:paraId="7AA7F2A8" w14:textId="77777777" w:rsidR="00186CE3" w:rsidRPr="001D0473" w:rsidRDefault="00186CE3" w:rsidP="00186CE3">
      <w:pPr>
        <w:pStyle w:val="ListParagraph"/>
        <w:numPr>
          <w:ilvl w:val="0"/>
          <w:numId w:val="19"/>
        </w:numPr>
        <w:ind w:left="0" w:firstLine="0"/>
        <w:jc w:val="both"/>
        <w:rPr>
          <w:lang w:val="en-GB"/>
        </w:rPr>
      </w:pPr>
      <w:r w:rsidRPr="001D0473">
        <w:rPr>
          <w:lang w:val="en-GB"/>
        </w:rPr>
        <w:t xml:space="preserve">When it comes to wages, the economic efficiency, encompassing labour productivity in addition to capital efficiency, is of special importance. It is undoubtedly confirmed that the economically efficient countries are those with higher capital-labour ratio, implying that the increase in the capital intensity is a </w:t>
      </w:r>
      <w:r>
        <w:rPr>
          <w:lang w:val="en-GB"/>
        </w:rPr>
        <w:t>prerequisite</w:t>
      </w:r>
      <w:r w:rsidRPr="001D0473">
        <w:rPr>
          <w:lang w:val="en-GB"/>
        </w:rPr>
        <w:t xml:space="preserve"> of high efficiency. However, throughout the period, the efficiency effect on the </w:t>
      </w:r>
      <m:oMath>
        <m:r>
          <w:rPr>
            <w:rFonts w:ascii="Cambria Math" w:hAnsi="Cambria Math"/>
            <w:lang w:val="en-GB"/>
          </w:rPr>
          <m:t>GDP</m:t>
        </m:r>
      </m:oMath>
      <w:r w:rsidRPr="001D0473">
        <w:rPr>
          <w:lang w:val="en-GB"/>
        </w:rPr>
        <w:t xml:space="preserve"> was of lesser significance when comparing it to the disequilibrium price effect (source 1). Moreover, the efficiency trend reported continuous decline over the period </w:t>
      </w:r>
      <w:r>
        <w:rPr>
          <w:lang w:val="en-GB"/>
        </w:rPr>
        <w:t xml:space="preserve">under examination, </w:t>
      </w:r>
      <w:r w:rsidRPr="001D0473">
        <w:rPr>
          <w:lang w:val="en-GB"/>
        </w:rPr>
        <w:t>regardless of the crisis occurrence.</w:t>
      </w:r>
    </w:p>
    <w:p w14:paraId="18151DFB" w14:textId="77777777" w:rsidR="00186CE3" w:rsidRPr="006833C4" w:rsidRDefault="00186CE3" w:rsidP="00186CE3">
      <w:pPr>
        <w:jc w:val="both"/>
        <w:rPr>
          <w:lang w:val="en-GB"/>
        </w:rPr>
      </w:pPr>
    </w:p>
    <w:p w14:paraId="7D2BDEE7" w14:textId="77777777" w:rsidR="00186CE3" w:rsidRPr="006833C4" w:rsidRDefault="00186CE3" w:rsidP="00186CE3">
      <w:pPr>
        <w:jc w:val="both"/>
        <w:rPr>
          <w:lang w:val="en-GB"/>
        </w:rPr>
      </w:pPr>
      <w:r w:rsidRPr="006833C4">
        <w:rPr>
          <w:lang w:val="en-GB"/>
        </w:rPr>
        <w:t xml:space="preserve">With the sectoral composition in question, the economic efficiency was significantly influenced by the manufacturing </w:t>
      </w:r>
      <w:r>
        <w:rPr>
          <w:lang w:val="en-GB"/>
        </w:rPr>
        <w:t xml:space="preserve">and </w:t>
      </w:r>
      <w:r w:rsidRPr="006833C4">
        <w:rPr>
          <w:lang w:val="en-GB"/>
        </w:rPr>
        <w:t xml:space="preserve">construction </w:t>
      </w:r>
      <w:r>
        <w:rPr>
          <w:lang w:val="en-GB"/>
        </w:rPr>
        <w:t>shares</w:t>
      </w:r>
      <w:r w:rsidRPr="006833C4">
        <w:rPr>
          <w:lang w:val="en-GB"/>
        </w:rPr>
        <w:t xml:space="preserve">. On the other </w:t>
      </w:r>
      <w:r>
        <w:rPr>
          <w:lang w:val="en-GB"/>
        </w:rPr>
        <w:t>hand</w:t>
      </w:r>
      <w:r w:rsidRPr="006833C4">
        <w:rPr>
          <w:lang w:val="en-GB"/>
        </w:rPr>
        <w:t xml:space="preserve">, when the analysis included </w:t>
      </w:r>
      <w:r w:rsidRPr="00843F00">
        <w:rPr>
          <w:color w:val="000000" w:themeColor="text1"/>
          <w:lang w:val="en-GB"/>
        </w:rPr>
        <w:t xml:space="preserve">the technological composition differences, the results received were as expected, suggesting </w:t>
      </w:r>
      <w:r w:rsidRPr="006833C4">
        <w:rPr>
          <w:lang w:val="en-GB"/>
        </w:rPr>
        <w:t>that the country’s efficiency is influenced by the level of technological development.</w:t>
      </w:r>
    </w:p>
    <w:p w14:paraId="17133104" w14:textId="77777777" w:rsidR="00186CE3" w:rsidRPr="006833C4" w:rsidRDefault="00186CE3" w:rsidP="00186CE3">
      <w:pPr>
        <w:rPr>
          <w:lang w:val="en-GB"/>
        </w:rPr>
      </w:pPr>
    </w:p>
    <w:p w14:paraId="564C2BE9" w14:textId="77777777" w:rsidR="00186CE3" w:rsidRPr="006833C4" w:rsidRDefault="00186CE3" w:rsidP="00186CE3">
      <w:pPr>
        <w:pStyle w:val="ListParagraph"/>
        <w:numPr>
          <w:ilvl w:val="0"/>
          <w:numId w:val="19"/>
        </w:numPr>
        <w:ind w:left="0" w:firstLine="0"/>
        <w:jc w:val="both"/>
        <w:rPr>
          <w:lang w:val="en-GB"/>
        </w:rPr>
      </w:pPr>
      <w:r w:rsidRPr="006833C4">
        <w:rPr>
          <w:lang w:val="en-GB"/>
        </w:rPr>
        <w:t xml:space="preserve">The empirical research has confirmed the assumption that the price and efficiency effects are reflected through wage rates. Given that the benefits of the price disequilibria and distinct efficiencies are disproportionately distributed amongst the member states, the wage rates must mirror the equivalent pattern. Therefore, as was the case in the utilization of the price and efficiency effects, the </w:t>
      </w:r>
      <w:r>
        <w:rPr>
          <w:lang w:val="en-GB"/>
        </w:rPr>
        <w:t xml:space="preserve">higher </w:t>
      </w:r>
      <w:r w:rsidRPr="006833C4">
        <w:rPr>
          <w:lang w:val="en-GB"/>
        </w:rPr>
        <w:t xml:space="preserve">wage rates are reported within the </w:t>
      </w:r>
      <w:r>
        <w:rPr>
          <w:lang w:val="en-GB"/>
        </w:rPr>
        <w:t xml:space="preserve">more </w:t>
      </w:r>
      <w:r w:rsidRPr="006833C4">
        <w:rPr>
          <w:lang w:val="en-GB"/>
        </w:rPr>
        <w:t>developed and higher capital intensity</w:t>
      </w:r>
      <w:r>
        <w:rPr>
          <w:lang w:val="en-GB"/>
        </w:rPr>
        <w:t xml:space="preserve"> countries</w:t>
      </w:r>
      <w:r w:rsidRPr="006833C4">
        <w:rPr>
          <w:lang w:val="en-GB"/>
        </w:rPr>
        <w:t xml:space="preserve">. In line with the deterioration of the disequilibrium prices, the wage rates are experiencing </w:t>
      </w:r>
      <w:r>
        <w:rPr>
          <w:lang w:val="en-GB"/>
        </w:rPr>
        <w:t>a</w:t>
      </w:r>
      <w:r w:rsidRPr="006833C4">
        <w:rPr>
          <w:lang w:val="en-GB"/>
        </w:rPr>
        <w:t xml:space="preserve"> decline from 200</w:t>
      </w:r>
      <w:r>
        <w:rPr>
          <w:lang w:val="en-GB"/>
        </w:rPr>
        <w:t xml:space="preserve">9 </w:t>
      </w:r>
      <w:r w:rsidRPr="006833C4">
        <w:rPr>
          <w:lang w:val="en-GB"/>
        </w:rPr>
        <w:t>onwards.</w:t>
      </w:r>
    </w:p>
    <w:p w14:paraId="433D7218" w14:textId="77777777" w:rsidR="00186CE3" w:rsidRPr="006833C4" w:rsidRDefault="00186CE3" w:rsidP="00186CE3">
      <w:pPr>
        <w:rPr>
          <w:lang w:val="en-GB"/>
        </w:rPr>
      </w:pPr>
    </w:p>
    <w:p w14:paraId="274EE481" w14:textId="77777777" w:rsidR="00186CE3" w:rsidRPr="006833C4" w:rsidRDefault="00186CE3" w:rsidP="00186CE3">
      <w:pPr>
        <w:jc w:val="both"/>
        <w:rPr>
          <w:lang w:val="en-GB"/>
        </w:rPr>
      </w:pPr>
      <w:r>
        <w:rPr>
          <w:lang w:val="en-GB"/>
        </w:rPr>
        <w:t>I</w:t>
      </w:r>
      <w:r w:rsidRPr="006833C4">
        <w:rPr>
          <w:lang w:val="en-GB"/>
        </w:rPr>
        <w:t>t bears mentioning that the</w:t>
      </w:r>
      <w:r>
        <w:rPr>
          <w:lang w:val="en-GB"/>
        </w:rPr>
        <w:t xml:space="preserve"> wage rates were</w:t>
      </w:r>
      <w:r w:rsidRPr="006833C4">
        <w:rPr>
          <w:lang w:val="en-GB"/>
        </w:rPr>
        <w:t xml:space="preserve"> </w:t>
      </w:r>
      <w:r>
        <w:rPr>
          <w:lang w:val="en-GB"/>
        </w:rPr>
        <w:t>influenced by the</w:t>
      </w:r>
      <w:r w:rsidRPr="006833C4">
        <w:rPr>
          <w:lang w:val="en-GB"/>
        </w:rPr>
        <w:t xml:space="preserve"> unemployment. </w:t>
      </w:r>
      <w:r>
        <w:rPr>
          <w:lang w:val="en-GB"/>
        </w:rPr>
        <w:t>T</w:t>
      </w:r>
      <w:r w:rsidRPr="006833C4">
        <w:rPr>
          <w:lang w:val="en-GB"/>
        </w:rPr>
        <w:t xml:space="preserve">his implies that </w:t>
      </w:r>
      <w:r>
        <w:rPr>
          <w:lang w:val="en-GB"/>
        </w:rPr>
        <w:t xml:space="preserve">a </w:t>
      </w:r>
      <w:r w:rsidRPr="006833C4">
        <w:rPr>
          <w:lang w:val="en-GB"/>
        </w:rPr>
        <w:t xml:space="preserve">higher unemployment </w:t>
      </w:r>
      <w:r>
        <w:rPr>
          <w:lang w:val="en-GB"/>
        </w:rPr>
        <w:t xml:space="preserve">rate </w:t>
      </w:r>
      <w:r w:rsidRPr="006833C4">
        <w:rPr>
          <w:lang w:val="en-GB"/>
        </w:rPr>
        <w:t>begets decline in wages and higher inequality</w:t>
      </w:r>
      <w:r w:rsidRPr="000E1233">
        <w:rPr>
          <w:color w:val="000000" w:themeColor="text1"/>
          <w:lang w:val="en-GB"/>
        </w:rPr>
        <w:t xml:space="preserve">. The results indicated that a higher unemployment rate equals a lower actual-to-equilibrium wage rate ratio. </w:t>
      </w:r>
      <w:r>
        <w:rPr>
          <w:lang w:val="en-GB"/>
        </w:rPr>
        <w:t>Unlike in the case of sectoral composition, the strong significance amongst wages and unemployment was detected in the case of technological composition.</w:t>
      </w:r>
    </w:p>
    <w:p w14:paraId="18A0DDEA" w14:textId="77777777" w:rsidR="00186CE3" w:rsidRPr="006833C4" w:rsidRDefault="00186CE3" w:rsidP="00186CE3">
      <w:pPr>
        <w:rPr>
          <w:lang w:val="en-GB"/>
        </w:rPr>
      </w:pPr>
    </w:p>
    <w:p w14:paraId="6E6E248F" w14:textId="77777777" w:rsidR="00186CE3" w:rsidRPr="006833C4" w:rsidRDefault="00186CE3" w:rsidP="00186CE3">
      <w:pPr>
        <w:jc w:val="both"/>
        <w:rPr>
          <w:lang w:val="en-GB"/>
        </w:rPr>
      </w:pPr>
      <w:r w:rsidRPr="006833C4">
        <w:rPr>
          <w:lang w:val="en-GB"/>
        </w:rPr>
        <w:t>The analysis of wage rates indicated the negative impact of the manufacturing sector</w:t>
      </w:r>
      <w:r>
        <w:rPr>
          <w:lang w:val="en-GB"/>
        </w:rPr>
        <w:t>,</w:t>
      </w:r>
      <w:r w:rsidRPr="006833C4">
        <w:rPr>
          <w:lang w:val="en-GB"/>
        </w:rPr>
        <w:t xml:space="preserve"> as well as </w:t>
      </w:r>
      <w:r>
        <w:rPr>
          <w:lang w:val="en-GB"/>
        </w:rPr>
        <w:t xml:space="preserve">the </w:t>
      </w:r>
      <w:r w:rsidRPr="006833C4">
        <w:rPr>
          <w:lang w:val="en-GB"/>
        </w:rPr>
        <w:t xml:space="preserve">positive impact of the public sector. The public sector clearly forms higher wage rates, even though it reduces the </w:t>
      </w:r>
      <w:r w:rsidRPr="000E1233">
        <w:rPr>
          <w:color w:val="000000" w:themeColor="text1"/>
          <w:lang w:val="en-GB"/>
        </w:rPr>
        <w:t>countries’ price positions</w:t>
      </w:r>
      <w:r w:rsidRPr="006833C4">
        <w:rPr>
          <w:lang w:val="en-GB"/>
        </w:rPr>
        <w:t>. The higher manufacturing shares also increase economic efficiency</w:t>
      </w:r>
      <w:r>
        <w:rPr>
          <w:lang w:val="en-GB"/>
        </w:rPr>
        <w:t xml:space="preserve"> and enhance the countries’ price positions</w:t>
      </w:r>
      <w:r w:rsidRPr="006833C4">
        <w:rPr>
          <w:lang w:val="en-GB"/>
        </w:rPr>
        <w:t xml:space="preserve">; </w:t>
      </w:r>
      <w:r>
        <w:rPr>
          <w:lang w:val="en-GB"/>
        </w:rPr>
        <w:t>however,</w:t>
      </w:r>
      <w:r w:rsidRPr="006833C4">
        <w:rPr>
          <w:lang w:val="en-GB"/>
        </w:rPr>
        <w:t xml:space="preserve"> this does not increas</w:t>
      </w:r>
      <w:r>
        <w:rPr>
          <w:lang w:val="en-GB"/>
        </w:rPr>
        <w:t>e the</w:t>
      </w:r>
      <w:r w:rsidRPr="006833C4">
        <w:rPr>
          <w:lang w:val="en-GB"/>
        </w:rPr>
        <w:t xml:space="preserve"> wage rates</w:t>
      </w:r>
      <w:r>
        <w:rPr>
          <w:lang w:val="en-GB"/>
        </w:rPr>
        <w:t>.</w:t>
      </w:r>
    </w:p>
    <w:p w14:paraId="127D77E4" w14:textId="77777777" w:rsidR="00186CE3" w:rsidRPr="006833C4" w:rsidRDefault="00186CE3" w:rsidP="00186CE3">
      <w:pPr>
        <w:rPr>
          <w:lang w:val="en-GB"/>
        </w:rPr>
      </w:pPr>
    </w:p>
    <w:p w14:paraId="726D15B4" w14:textId="77777777" w:rsidR="00186CE3" w:rsidRPr="006833C4" w:rsidRDefault="00186CE3" w:rsidP="00186CE3">
      <w:pPr>
        <w:jc w:val="both"/>
        <w:rPr>
          <w:lang w:val="en-GB"/>
        </w:rPr>
      </w:pPr>
      <w:r>
        <w:rPr>
          <w:lang w:val="en-GB"/>
        </w:rPr>
        <w:t>T</w:t>
      </w:r>
      <w:r w:rsidRPr="006833C4">
        <w:rPr>
          <w:lang w:val="en-GB"/>
        </w:rPr>
        <w:t xml:space="preserve">he </w:t>
      </w:r>
      <w:r>
        <w:rPr>
          <w:lang w:val="en-GB"/>
        </w:rPr>
        <w:t>increase in the share of high technologies reported a negative effect on the wage rates. Such a result indicates that the majority of the analysed countries, from the viewpoint of prices, efficiency, and technological development, are in the position which, regarding international competition, does not allow for an increase in wages.</w:t>
      </w:r>
    </w:p>
    <w:p w14:paraId="5DE69D37" w14:textId="77777777" w:rsidR="00186CE3" w:rsidRPr="006833C4" w:rsidRDefault="00186CE3" w:rsidP="00186CE3">
      <w:pPr>
        <w:jc w:val="both"/>
        <w:rPr>
          <w:lang w:val="en-GB"/>
        </w:rPr>
      </w:pPr>
    </w:p>
    <w:p w14:paraId="732A2683" w14:textId="77777777" w:rsidR="00186CE3" w:rsidRPr="006A26FD" w:rsidRDefault="00186CE3" w:rsidP="00186CE3">
      <w:pPr>
        <w:pStyle w:val="ListParagraph"/>
        <w:numPr>
          <w:ilvl w:val="0"/>
          <w:numId w:val="19"/>
        </w:numPr>
        <w:ind w:left="0" w:firstLine="0"/>
        <w:jc w:val="both"/>
        <w:rPr>
          <w:lang w:val="en-GB"/>
        </w:rPr>
      </w:pPr>
      <w:r w:rsidRPr="006833C4">
        <w:rPr>
          <w:lang w:val="en-GB"/>
        </w:rPr>
        <w:t>Th</w:t>
      </w:r>
      <w:r>
        <w:rPr>
          <w:lang w:val="en-GB"/>
        </w:rPr>
        <w:t>e fact th</w:t>
      </w:r>
      <w:r w:rsidRPr="006833C4">
        <w:rPr>
          <w:lang w:val="en-GB"/>
        </w:rPr>
        <w:t xml:space="preserve">at the wage rates and the profit rates are alternative factors enhancing the cross-country inequality gap, is additionally confirmed by the results of the profit rate </w:t>
      </w:r>
      <w:r w:rsidRPr="006833C4">
        <w:rPr>
          <w:lang w:val="en-GB"/>
        </w:rPr>
        <w:lastRenderedPageBreak/>
        <w:t xml:space="preserve">analysis. </w:t>
      </w:r>
      <w:r>
        <w:rPr>
          <w:lang w:val="en-GB"/>
        </w:rPr>
        <w:t xml:space="preserve">The profit rates reported </w:t>
      </w:r>
      <w:r w:rsidRPr="006833C4">
        <w:rPr>
          <w:lang w:val="en-GB"/>
        </w:rPr>
        <w:t>significant</w:t>
      </w:r>
      <w:r w:rsidRPr="00DE04BD">
        <w:rPr>
          <w:lang w:val="en-GB"/>
        </w:rPr>
        <w:t xml:space="preserve"> </w:t>
      </w:r>
      <w:r w:rsidRPr="006833C4">
        <w:rPr>
          <w:lang w:val="en-GB"/>
        </w:rPr>
        <w:t>var</w:t>
      </w:r>
      <w:r>
        <w:rPr>
          <w:lang w:val="en-GB"/>
        </w:rPr>
        <w:t>iation</w:t>
      </w:r>
      <w:r w:rsidRPr="006833C4">
        <w:rPr>
          <w:lang w:val="en-GB"/>
        </w:rPr>
        <w:t xml:space="preserve"> across countries</w:t>
      </w:r>
      <w:r>
        <w:rPr>
          <w:lang w:val="en-GB"/>
        </w:rPr>
        <w:t xml:space="preserve"> with a negative influence of capital intensity. This means that the higher capital-labour ratio lowered profits. The bigger and more developed countries reported higher profit rates and, in contrast to the wages, the profits reported a continuous rise followed by the onset of the crisis in 2009.</w:t>
      </w:r>
    </w:p>
    <w:p w14:paraId="33146022" w14:textId="77777777" w:rsidR="00186CE3" w:rsidRPr="006833C4" w:rsidRDefault="00186CE3" w:rsidP="00186CE3">
      <w:pPr>
        <w:jc w:val="both"/>
        <w:rPr>
          <w:lang w:val="en-GB"/>
        </w:rPr>
      </w:pPr>
    </w:p>
    <w:p w14:paraId="2FB8CB99" w14:textId="77777777" w:rsidR="00186CE3" w:rsidRPr="006833C4" w:rsidRDefault="00186CE3" w:rsidP="00186CE3">
      <w:pPr>
        <w:jc w:val="both"/>
        <w:rPr>
          <w:lang w:val="en-GB"/>
        </w:rPr>
      </w:pPr>
      <w:r w:rsidRPr="006833C4">
        <w:rPr>
          <w:lang w:val="en-GB"/>
        </w:rPr>
        <w:t>In line with classical economics, the analysis has pointed out that the labour market is a main mechanism distributing the economic rewards towards the production factors. This becomes apparent once it is acknowledged that the wage and profit rates are significantly influenced by the unemployment rate. Therefore, as expected, the increase in the unemployment rate initiates the upward profit rate trend simultaneously with the downward wage rate movement.</w:t>
      </w:r>
    </w:p>
    <w:p w14:paraId="5F677EDA" w14:textId="77777777" w:rsidR="00186CE3" w:rsidRPr="006833C4" w:rsidRDefault="00186CE3" w:rsidP="00186CE3">
      <w:pPr>
        <w:jc w:val="both"/>
        <w:rPr>
          <w:lang w:val="en-GB"/>
        </w:rPr>
      </w:pPr>
    </w:p>
    <w:p w14:paraId="207A5BF8" w14:textId="77777777" w:rsidR="00186CE3" w:rsidRPr="006833C4" w:rsidRDefault="00186CE3" w:rsidP="00186CE3">
      <w:pPr>
        <w:jc w:val="both"/>
        <w:rPr>
          <w:lang w:val="en-GB"/>
        </w:rPr>
      </w:pPr>
      <w:r>
        <w:rPr>
          <w:lang w:val="en-GB"/>
        </w:rPr>
        <w:t>The higher share of agriculture and manufacturing positively influences the profit rates, where the latter sector does so while concurrently enhancing countries’ efficiency and price positions. Conversely, profit rates are negatively influenced by the public sector share. Moreover, the higher share of less developed technology has a positive effect and increases the profit rates.</w:t>
      </w:r>
    </w:p>
    <w:p w14:paraId="11270CB8" w14:textId="77777777" w:rsidR="00186CE3" w:rsidRPr="006833C4" w:rsidRDefault="00186CE3" w:rsidP="00186CE3">
      <w:pPr>
        <w:jc w:val="both"/>
        <w:rPr>
          <w:lang w:val="en-GB"/>
        </w:rPr>
      </w:pPr>
    </w:p>
    <w:p w14:paraId="221F973B" w14:textId="77777777" w:rsidR="00186CE3" w:rsidRPr="006833C4" w:rsidRDefault="00186CE3" w:rsidP="00186CE3">
      <w:pPr>
        <w:pStyle w:val="ListParagraph"/>
        <w:numPr>
          <w:ilvl w:val="0"/>
          <w:numId w:val="19"/>
        </w:numPr>
        <w:ind w:left="0" w:firstLine="0"/>
        <w:jc w:val="both"/>
        <w:rPr>
          <w:lang w:val="en-GB"/>
        </w:rPr>
      </w:pPr>
      <w:r w:rsidRPr="006833C4">
        <w:rPr>
          <w:lang w:val="en-GB"/>
        </w:rPr>
        <w:t xml:space="preserve">The cross-country differences and the factors causing them, particularly the ones connected to the economy’s sectoral composition and </w:t>
      </w:r>
      <w:r>
        <w:rPr>
          <w:lang w:val="en-GB"/>
        </w:rPr>
        <w:t xml:space="preserve">the </w:t>
      </w:r>
      <w:r w:rsidRPr="006833C4">
        <w:rPr>
          <w:lang w:val="en-GB"/>
        </w:rPr>
        <w:t>firm’s technological development, are reflected within the factor that express</w:t>
      </w:r>
      <w:r>
        <w:rPr>
          <w:lang w:val="en-GB"/>
        </w:rPr>
        <w:t>es</w:t>
      </w:r>
      <w:r w:rsidRPr="006833C4">
        <w:rPr>
          <w:lang w:val="en-GB"/>
        </w:rPr>
        <w:t xml:space="preserve"> the cross-country inequality in international value transfers. This factor, quantified as the ratio between the newly created value and the equilibrium national income, indicates the extent of the consumed labour recognition within the national income. The relationship between the new value created and the equilibrium national income is functionally defined through the capital intensity or the organic composition of capital. The importance of this relationship is empirically confirmed </w:t>
      </w:r>
      <w:r>
        <w:rPr>
          <w:lang w:val="en-GB"/>
        </w:rPr>
        <w:t>by</w:t>
      </w:r>
      <w:r w:rsidRPr="006833C4">
        <w:rPr>
          <w:lang w:val="en-GB"/>
        </w:rPr>
        <w:t xml:space="preserve"> the fact that the higher organic composition of capital requires less work to produce equilibrium national income. By extending on the conclusions made thus far, such </w:t>
      </w:r>
      <w:r>
        <w:rPr>
          <w:lang w:val="en-GB"/>
        </w:rPr>
        <w:t xml:space="preserve">a </w:t>
      </w:r>
      <w:r w:rsidRPr="006833C4">
        <w:rPr>
          <w:lang w:val="en-GB"/>
        </w:rPr>
        <w:t xml:space="preserve">state of affairs works in favour of countries that are more developed (higher </w:t>
      </w:r>
      <m:oMath>
        <m:sSub>
          <m:sSubPr>
            <m:ctrlPr>
              <w:rPr>
                <w:rFonts w:ascii="Cambria Math" w:hAnsi="Cambria Math"/>
                <w:i/>
                <w:lang w:val="en-GB"/>
              </w:rPr>
            </m:ctrlPr>
          </m:sSubPr>
          <m:e>
            <m:r>
              <w:rPr>
                <w:rFonts w:ascii="Cambria Math" w:hAnsi="Cambria Math"/>
                <w:lang w:val="en-GB"/>
              </w:rPr>
              <m:t>GDP</m:t>
            </m:r>
          </m:e>
          <m:sub>
            <m:r>
              <w:rPr>
                <w:rFonts w:ascii="Cambria Math" w:hAnsi="Cambria Math"/>
                <w:lang w:val="en-GB"/>
              </w:rPr>
              <m:t>p/c</m:t>
            </m:r>
          </m:sub>
        </m:sSub>
      </m:oMath>
      <w:r w:rsidRPr="006833C4">
        <w:rPr>
          <w:lang w:val="en-GB"/>
        </w:rPr>
        <w:t>) and smaller</w:t>
      </w:r>
      <w:r>
        <w:rPr>
          <w:lang w:val="en-GB"/>
        </w:rPr>
        <w:t xml:space="preserve"> in</w:t>
      </w:r>
      <w:r w:rsidRPr="006833C4">
        <w:rPr>
          <w:lang w:val="en-GB"/>
        </w:rPr>
        <w:t xml:space="preserve"> size.</w:t>
      </w:r>
    </w:p>
    <w:p w14:paraId="30F9889A" w14:textId="77777777" w:rsidR="00186CE3" w:rsidRPr="006833C4" w:rsidRDefault="00186CE3" w:rsidP="00186CE3">
      <w:pPr>
        <w:jc w:val="both"/>
        <w:rPr>
          <w:lang w:val="en-GB"/>
        </w:rPr>
      </w:pPr>
    </w:p>
    <w:p w14:paraId="6FFA5170" w14:textId="77777777" w:rsidR="00186CE3" w:rsidRPr="006833C4" w:rsidRDefault="00186CE3" w:rsidP="00186CE3">
      <w:pPr>
        <w:jc w:val="both"/>
        <w:rPr>
          <w:lang w:val="en-GB"/>
        </w:rPr>
      </w:pPr>
      <w:r>
        <w:rPr>
          <w:lang w:val="en-GB"/>
        </w:rPr>
        <w:t>T</w:t>
      </w:r>
      <w:r w:rsidRPr="006833C4">
        <w:rPr>
          <w:lang w:val="en-GB"/>
        </w:rPr>
        <w:t xml:space="preserve">he rising share of </w:t>
      </w:r>
      <w:r>
        <w:rPr>
          <w:lang w:val="en-GB"/>
        </w:rPr>
        <w:t>construction</w:t>
      </w:r>
      <w:r w:rsidRPr="006833C4">
        <w:rPr>
          <w:lang w:val="en-GB"/>
        </w:rPr>
        <w:t xml:space="preserve"> and service activities within the national income </w:t>
      </w:r>
      <w:r>
        <w:rPr>
          <w:lang w:val="en-GB"/>
        </w:rPr>
        <w:t>decreases</w:t>
      </w:r>
      <w:r w:rsidRPr="006833C4">
        <w:rPr>
          <w:lang w:val="en-GB"/>
        </w:rPr>
        <w:t xml:space="preserve"> the quantities of consumed labour being recognized within the </w:t>
      </w:r>
      <w:r>
        <w:rPr>
          <w:lang w:val="en-GB"/>
        </w:rPr>
        <w:t xml:space="preserve">equilibrium </w:t>
      </w:r>
      <m:oMath>
        <m:r>
          <w:rPr>
            <w:rFonts w:ascii="Cambria Math" w:hAnsi="Cambria Math"/>
            <w:lang w:val="en-GB"/>
          </w:rPr>
          <m:t>GDP</m:t>
        </m:r>
      </m:oMath>
      <w:r w:rsidRPr="006833C4">
        <w:rPr>
          <w:lang w:val="en-GB"/>
        </w:rPr>
        <w:t xml:space="preserve">. </w:t>
      </w:r>
      <w:r>
        <w:rPr>
          <w:lang w:val="en-GB"/>
        </w:rPr>
        <w:t xml:space="preserve">The opposite is the case with the agricultural sector. These movements are consistent with the technological influence, where the employment of the highly developed technology results in a lesser amount of labour being recognized within the equilibrium </w:t>
      </w:r>
      <m:oMath>
        <m:r>
          <w:rPr>
            <w:rFonts w:ascii="Cambria Math" w:hAnsi="Cambria Math"/>
            <w:lang w:val="en-GB"/>
          </w:rPr>
          <m:t>GDP</m:t>
        </m:r>
      </m:oMath>
      <w:r w:rsidRPr="006833C4">
        <w:rPr>
          <w:lang w:val="en-GB"/>
        </w:rPr>
        <w:t>.</w:t>
      </w:r>
    </w:p>
    <w:p w14:paraId="71131931" w14:textId="77777777" w:rsidR="00186CE3" w:rsidRPr="006833C4" w:rsidRDefault="00186CE3" w:rsidP="00186CE3">
      <w:pPr>
        <w:jc w:val="both"/>
        <w:rPr>
          <w:lang w:val="en-GB"/>
        </w:rPr>
      </w:pPr>
    </w:p>
    <w:p w14:paraId="04BA4F09" w14:textId="77777777" w:rsidR="00186CE3" w:rsidRPr="006833C4" w:rsidRDefault="00186CE3" w:rsidP="00186CE3">
      <w:pPr>
        <w:jc w:val="both"/>
        <w:rPr>
          <w:lang w:val="en-GB"/>
        </w:rPr>
      </w:pPr>
      <w:r w:rsidRPr="006833C4">
        <w:rPr>
          <w:lang w:val="en-GB"/>
        </w:rPr>
        <w:t xml:space="preserve">It bears mentioning that the results reported </w:t>
      </w:r>
      <w:r>
        <w:rPr>
          <w:lang w:val="en-GB"/>
        </w:rPr>
        <w:t xml:space="preserve">a </w:t>
      </w:r>
      <w:r w:rsidRPr="006833C4">
        <w:rPr>
          <w:lang w:val="en-GB"/>
        </w:rPr>
        <w:t xml:space="preserve">statistical significance regarding the effects of </w:t>
      </w:r>
      <w:r>
        <w:rPr>
          <w:lang w:val="en-GB"/>
        </w:rPr>
        <w:t xml:space="preserve">the </w:t>
      </w:r>
      <w:r w:rsidRPr="006833C4">
        <w:rPr>
          <w:lang w:val="en-GB"/>
        </w:rPr>
        <w:t xml:space="preserve">time variable. As shown, the amount of labour whose consumption is necessary for achieving the Eurozone’s equilibrium national income has been on </w:t>
      </w:r>
      <w:r>
        <w:rPr>
          <w:lang w:val="en-GB"/>
        </w:rPr>
        <w:t xml:space="preserve">a </w:t>
      </w:r>
      <w:r w:rsidRPr="006833C4">
        <w:rPr>
          <w:lang w:val="en-GB"/>
        </w:rPr>
        <w:t xml:space="preserve">continuous increase </w:t>
      </w:r>
      <w:r>
        <w:rPr>
          <w:lang w:val="en-GB"/>
        </w:rPr>
        <w:t>from 2008 onwards</w:t>
      </w:r>
      <w:r w:rsidRPr="006833C4">
        <w:rPr>
          <w:lang w:val="en-GB"/>
        </w:rPr>
        <w:t xml:space="preserve">. Such a conclusion </w:t>
      </w:r>
      <w:r>
        <w:rPr>
          <w:lang w:val="en-GB"/>
        </w:rPr>
        <w:t>is</w:t>
      </w:r>
      <w:r w:rsidRPr="006833C4">
        <w:rPr>
          <w:lang w:val="en-GB"/>
        </w:rPr>
        <w:t xml:space="preserve"> no</w:t>
      </w:r>
      <w:r>
        <w:rPr>
          <w:lang w:val="en-GB"/>
        </w:rPr>
        <w:t xml:space="preserve">t </w:t>
      </w:r>
      <w:r w:rsidRPr="006833C4">
        <w:rPr>
          <w:lang w:val="en-GB"/>
        </w:rPr>
        <w:t xml:space="preserve">trivial, especially if it is considered that concurrently with the increase in the necessary labour, the countries have shown substantial differences with respect to recognition of the new value created within the equilibrium </w:t>
      </w:r>
      <m:oMath>
        <m:r>
          <w:rPr>
            <w:rFonts w:ascii="Cambria Math" w:hAnsi="Cambria Math"/>
            <w:lang w:val="en-GB"/>
          </w:rPr>
          <m:t>GDP</m:t>
        </m:r>
      </m:oMath>
      <w:r w:rsidRPr="006833C4">
        <w:rPr>
          <w:lang w:val="en-GB"/>
        </w:rPr>
        <w:t>.</w:t>
      </w:r>
    </w:p>
    <w:p w14:paraId="7A76C4D6" w14:textId="77777777" w:rsidR="00186CE3" w:rsidRPr="006833C4" w:rsidRDefault="00186CE3" w:rsidP="00186CE3">
      <w:pPr>
        <w:jc w:val="both"/>
        <w:rPr>
          <w:lang w:val="en-GB"/>
        </w:rPr>
      </w:pPr>
    </w:p>
    <w:p w14:paraId="396A4B44" w14:textId="77777777" w:rsidR="00186CE3" w:rsidRPr="00AB634A" w:rsidRDefault="00186CE3" w:rsidP="00186CE3">
      <w:pPr>
        <w:pStyle w:val="ListParagraph"/>
        <w:numPr>
          <w:ilvl w:val="0"/>
          <w:numId w:val="19"/>
        </w:numPr>
        <w:ind w:left="0" w:firstLine="0"/>
        <w:jc w:val="both"/>
        <w:rPr>
          <w:lang w:val="en-GB"/>
        </w:rPr>
      </w:pPr>
      <w:r w:rsidRPr="006833C4">
        <w:rPr>
          <w:lang w:val="en-GB"/>
        </w:rPr>
        <w:t xml:space="preserve">The cross-country exploitation rate reported heterogeneity and an overall rising trend </w:t>
      </w:r>
      <w:r>
        <w:rPr>
          <w:lang w:val="en-GB"/>
        </w:rPr>
        <w:t xml:space="preserve">followed by the year 2011. </w:t>
      </w:r>
      <w:r w:rsidRPr="00AB634A">
        <w:rPr>
          <w:lang w:val="en-GB"/>
        </w:rPr>
        <w:t xml:space="preserve">The results suggested that the bigger countries, measured via </w:t>
      </w:r>
      <m:oMath>
        <m:r>
          <w:rPr>
            <w:rFonts w:ascii="Cambria Math" w:hAnsi="Cambria Math"/>
            <w:lang w:val="en-GB"/>
          </w:rPr>
          <m:t>GDP</m:t>
        </m:r>
      </m:oMath>
      <w:r w:rsidRPr="00AB634A">
        <w:rPr>
          <w:lang w:val="en-GB"/>
        </w:rPr>
        <w:t xml:space="preserve">, have </w:t>
      </w:r>
      <w:r>
        <w:rPr>
          <w:lang w:val="en-GB"/>
        </w:rPr>
        <w:t xml:space="preserve">a </w:t>
      </w:r>
      <w:r w:rsidRPr="00AB634A">
        <w:rPr>
          <w:lang w:val="en-GB"/>
        </w:rPr>
        <w:t xml:space="preserve">higher exploitation rate, i.e. that the increase in </w:t>
      </w:r>
      <m:oMath>
        <m:r>
          <w:rPr>
            <w:rFonts w:ascii="Cambria Math" w:hAnsi="Cambria Math"/>
            <w:lang w:val="en-GB"/>
          </w:rPr>
          <m:t>GDP</m:t>
        </m:r>
      </m:oMath>
      <w:r w:rsidRPr="00AB634A">
        <w:rPr>
          <w:lang w:val="en-GB"/>
        </w:rPr>
        <w:t xml:space="preserve"> increase the exploitation rate. Such </w:t>
      </w:r>
      <w:r>
        <w:rPr>
          <w:lang w:val="en-GB"/>
        </w:rPr>
        <w:t xml:space="preserve">a </w:t>
      </w:r>
      <w:r w:rsidRPr="00AB634A">
        <w:rPr>
          <w:lang w:val="en-GB"/>
        </w:rPr>
        <w:t xml:space="preserve">result is predetermined by the nature of the data and becomes apparent when one is reminded that the lower tail of </w:t>
      </w:r>
      <w:r>
        <w:rPr>
          <w:lang w:val="en-GB"/>
        </w:rPr>
        <w:t xml:space="preserve">the </w:t>
      </w:r>
      <w:r w:rsidRPr="00AB634A">
        <w:rPr>
          <w:lang w:val="en-GB"/>
        </w:rPr>
        <w:t xml:space="preserve">Eurozone’s country-level </w:t>
      </w:r>
      <m:oMath>
        <m:r>
          <w:rPr>
            <w:rFonts w:ascii="Cambria Math" w:hAnsi="Cambria Math"/>
            <w:lang w:val="en-GB"/>
          </w:rPr>
          <m:t>GDP</m:t>
        </m:r>
      </m:oMath>
      <w:r w:rsidRPr="00AB634A">
        <w:rPr>
          <w:lang w:val="en-GB"/>
        </w:rPr>
        <w:t xml:space="preserve"> distribution is exclusively reserved for the countries with comparably lower position </w:t>
      </w:r>
      <w:r>
        <w:rPr>
          <w:lang w:val="en-GB"/>
        </w:rPr>
        <w:t xml:space="preserve">and </w:t>
      </w:r>
      <w:r w:rsidRPr="00AB634A">
        <w:rPr>
          <w:lang w:val="en-GB"/>
        </w:rPr>
        <w:t>admitted to the European Union in 2004. These countries are: Slovakia, Lithuania, Slovenia, Latvia, Estonia, Cyprus, and Malta. The second conclusion</w:t>
      </w:r>
      <w:r>
        <w:rPr>
          <w:lang w:val="en-GB"/>
        </w:rPr>
        <w:t>,</w:t>
      </w:r>
      <w:r w:rsidRPr="00AB634A">
        <w:rPr>
          <w:lang w:val="en-GB"/>
        </w:rPr>
        <w:t xml:space="preserve"> suggest</w:t>
      </w:r>
      <w:r>
        <w:rPr>
          <w:lang w:val="en-GB"/>
        </w:rPr>
        <w:t>s</w:t>
      </w:r>
      <w:r w:rsidRPr="00AB634A">
        <w:rPr>
          <w:lang w:val="en-GB"/>
        </w:rPr>
        <w:t xml:space="preserve"> that the increase in </w:t>
      </w:r>
      <m:oMath>
        <m:sSub>
          <m:sSubPr>
            <m:ctrlPr>
              <w:rPr>
                <w:rFonts w:ascii="Cambria Math" w:hAnsi="Cambria Math"/>
                <w:i/>
                <w:lang w:val="en-GB"/>
              </w:rPr>
            </m:ctrlPr>
          </m:sSubPr>
          <m:e>
            <m:r>
              <w:rPr>
                <w:rFonts w:ascii="Cambria Math" w:hAnsi="Cambria Math"/>
                <w:lang w:val="en-GB"/>
              </w:rPr>
              <m:t>GDP</m:t>
            </m:r>
          </m:e>
          <m:sub>
            <m:r>
              <w:rPr>
                <w:rFonts w:ascii="Cambria Math" w:hAnsi="Cambria Math"/>
                <w:lang w:val="en-GB"/>
              </w:rPr>
              <m:t>p/c</m:t>
            </m:r>
          </m:sub>
        </m:sSub>
      </m:oMath>
      <w:r>
        <w:rPr>
          <w:lang w:val="en-GB"/>
        </w:rPr>
        <w:t xml:space="preserve"> </w:t>
      </w:r>
      <w:r w:rsidRPr="00AB634A">
        <w:rPr>
          <w:lang w:val="en-GB"/>
        </w:rPr>
        <w:t xml:space="preserve">will result in the </w:t>
      </w:r>
      <w:r w:rsidRPr="00AB634A">
        <w:rPr>
          <w:lang w:val="en-GB"/>
        </w:rPr>
        <w:lastRenderedPageBreak/>
        <w:t>decrease in the exploitation rate. This, in effect</w:t>
      </w:r>
      <w:r>
        <w:rPr>
          <w:lang w:val="en-GB"/>
        </w:rPr>
        <w:t>,</w:t>
      </w:r>
      <w:r w:rsidRPr="00AB634A">
        <w:rPr>
          <w:lang w:val="en-GB"/>
        </w:rPr>
        <w:t xml:space="preserve"> means that within the more developed countries workers spend more time working for themselves th</w:t>
      </w:r>
      <w:r>
        <w:rPr>
          <w:lang w:val="en-GB"/>
        </w:rPr>
        <w:t>a</w:t>
      </w:r>
      <w:r w:rsidRPr="00AB634A">
        <w:rPr>
          <w:lang w:val="en-GB"/>
        </w:rPr>
        <w:t xml:space="preserve">n they do for the production of a part of the income that is, in final instance, appropriated in the form of profit. Moreover, the analysis has shown that the rise in the unemployment rate will decrease the exploitation and that the same will hold in </w:t>
      </w:r>
      <w:r>
        <w:rPr>
          <w:lang w:val="en-GB"/>
        </w:rPr>
        <w:t xml:space="preserve">the </w:t>
      </w:r>
      <w:r w:rsidRPr="00AB634A">
        <w:rPr>
          <w:lang w:val="en-GB"/>
        </w:rPr>
        <w:t xml:space="preserve">case of rising capital intensity. This is reasonable since the unemployment rate inevitably assumes </w:t>
      </w:r>
      <w:r>
        <w:rPr>
          <w:lang w:val="en-GB"/>
        </w:rPr>
        <w:t xml:space="preserve">a </w:t>
      </w:r>
      <w:r w:rsidRPr="00AB634A">
        <w:rPr>
          <w:lang w:val="en-GB"/>
        </w:rPr>
        <w:t xml:space="preserve">decline in the labour that needs to be exploited, whereas the influence of capital intensity on the exploitation indicates that the workers </w:t>
      </w:r>
      <w:r>
        <w:rPr>
          <w:lang w:val="en-GB"/>
        </w:rPr>
        <w:t>who</w:t>
      </w:r>
      <w:r w:rsidRPr="00AB634A">
        <w:rPr>
          <w:lang w:val="en-GB"/>
        </w:rPr>
        <w:t xml:space="preserve"> remained employed experienced, on average, </w:t>
      </w:r>
      <w:r>
        <w:rPr>
          <w:lang w:val="en-GB"/>
        </w:rPr>
        <w:t xml:space="preserve">a </w:t>
      </w:r>
      <w:r w:rsidRPr="00AB634A">
        <w:rPr>
          <w:lang w:val="en-GB"/>
        </w:rPr>
        <w:t xml:space="preserve">rise in their wages. However, the decline in the exploitation rate can be misleading in terms of </w:t>
      </w:r>
      <w:r>
        <w:rPr>
          <w:lang w:val="en-GB"/>
        </w:rPr>
        <w:t xml:space="preserve">a </w:t>
      </w:r>
      <w:r w:rsidRPr="00AB634A">
        <w:rPr>
          <w:lang w:val="en-GB"/>
        </w:rPr>
        <w:t xml:space="preserve">conclusion that the relative position of the workers has improved. This is not necessarily the case since such improvement can come at the expense of laying off numerous workers. In the latter case, the lesser exploitation occurs simultaneously with the </w:t>
      </w:r>
      <w:r>
        <w:rPr>
          <w:lang w:val="en-GB"/>
        </w:rPr>
        <w:t xml:space="preserve">rise in overall </w:t>
      </w:r>
      <w:r w:rsidRPr="00AB634A">
        <w:rPr>
          <w:lang w:val="en-GB"/>
        </w:rPr>
        <w:t>inequality.</w:t>
      </w:r>
    </w:p>
    <w:p w14:paraId="3DD63D8E" w14:textId="77777777" w:rsidR="00186CE3" w:rsidRPr="006833C4" w:rsidRDefault="00186CE3" w:rsidP="00186CE3">
      <w:pPr>
        <w:jc w:val="both"/>
        <w:rPr>
          <w:lang w:val="en-GB"/>
        </w:rPr>
      </w:pPr>
    </w:p>
    <w:p w14:paraId="5F043FDC" w14:textId="77777777" w:rsidR="00186CE3" w:rsidRPr="006833C4" w:rsidRDefault="00186CE3" w:rsidP="00186CE3">
      <w:pPr>
        <w:jc w:val="both"/>
        <w:rPr>
          <w:lang w:val="en-GB"/>
        </w:rPr>
      </w:pPr>
      <w:r w:rsidRPr="006833C4">
        <w:rPr>
          <w:lang w:val="en-GB"/>
        </w:rPr>
        <w:t xml:space="preserve">The sectoral structure of national economies has a significant effect on the exploitation rate. The higher shares of </w:t>
      </w:r>
      <w:r>
        <w:rPr>
          <w:lang w:val="en-GB"/>
        </w:rPr>
        <w:t xml:space="preserve">agriculture, </w:t>
      </w:r>
      <w:r w:rsidRPr="006833C4">
        <w:rPr>
          <w:lang w:val="en-GB"/>
        </w:rPr>
        <w:t xml:space="preserve">manufacturing, </w:t>
      </w:r>
      <w:r>
        <w:rPr>
          <w:lang w:val="en-GB"/>
        </w:rPr>
        <w:t xml:space="preserve">and </w:t>
      </w:r>
      <w:r w:rsidRPr="006833C4">
        <w:rPr>
          <w:lang w:val="en-GB"/>
        </w:rPr>
        <w:t>construction</w:t>
      </w:r>
      <w:r>
        <w:rPr>
          <w:lang w:val="en-GB"/>
        </w:rPr>
        <w:t xml:space="preserve"> </w:t>
      </w:r>
      <w:r w:rsidRPr="006833C4">
        <w:rPr>
          <w:lang w:val="en-GB"/>
        </w:rPr>
        <w:t>activities result in the lesser exploitation and suggest that within the countries with these sectors</w:t>
      </w:r>
      <w:r>
        <w:rPr>
          <w:lang w:val="en-GB"/>
        </w:rPr>
        <w:t>,</w:t>
      </w:r>
      <w:r w:rsidRPr="006833C4">
        <w:rPr>
          <w:lang w:val="en-GB"/>
        </w:rPr>
        <w:t xml:space="preserve"> workers tend to work less for profits and more for their incomes.</w:t>
      </w:r>
    </w:p>
    <w:p w14:paraId="4112BB81" w14:textId="77777777" w:rsidR="00186CE3" w:rsidRPr="006833C4" w:rsidRDefault="00186CE3" w:rsidP="00186CE3">
      <w:pPr>
        <w:jc w:val="both"/>
        <w:rPr>
          <w:lang w:val="en-GB"/>
        </w:rPr>
      </w:pPr>
    </w:p>
    <w:p w14:paraId="06B022E0" w14:textId="77777777" w:rsidR="00186CE3" w:rsidRPr="006833C4" w:rsidRDefault="00186CE3" w:rsidP="00186CE3">
      <w:pPr>
        <w:jc w:val="both"/>
        <w:rPr>
          <w:lang w:val="en-GB"/>
        </w:rPr>
      </w:pPr>
      <w:r>
        <w:rPr>
          <w:lang w:val="en-GB"/>
        </w:rPr>
        <w:t>A</w:t>
      </w:r>
      <w:r w:rsidRPr="006833C4">
        <w:rPr>
          <w:lang w:val="en-GB"/>
        </w:rPr>
        <w:t xml:space="preserve"> similar motion holds in the case of technological composition, where the higher share of low technology results in the lesser exploitation and more time spent for the production of the labour incomes.</w:t>
      </w:r>
      <w:r>
        <w:rPr>
          <w:lang w:val="en-GB"/>
        </w:rPr>
        <w:t xml:space="preserve"> Conversely, a rise in the share of the high technologies results in the fact that the workers work more for the profits.</w:t>
      </w:r>
    </w:p>
    <w:p w14:paraId="2E36AB24" w14:textId="77777777" w:rsidR="00186CE3" w:rsidRPr="006833C4" w:rsidRDefault="00186CE3" w:rsidP="00186CE3">
      <w:pPr>
        <w:rPr>
          <w:lang w:val="en-GB"/>
        </w:rPr>
      </w:pPr>
    </w:p>
    <w:p w14:paraId="02504DA9" w14:textId="011ECC03" w:rsidR="00186CE3" w:rsidRPr="006833C4" w:rsidRDefault="00186CE3" w:rsidP="00186CE3">
      <w:pPr>
        <w:pStyle w:val="ListParagraph"/>
        <w:numPr>
          <w:ilvl w:val="0"/>
          <w:numId w:val="20"/>
        </w:numPr>
        <w:rPr>
          <w:b/>
          <w:lang w:val="en-GB"/>
        </w:rPr>
      </w:pPr>
      <w:r w:rsidRPr="006833C4">
        <w:rPr>
          <w:b/>
          <w:lang w:val="en-GB"/>
        </w:rPr>
        <w:t>C</w:t>
      </w:r>
      <w:r w:rsidR="00D51097">
        <w:rPr>
          <w:b/>
          <w:lang w:val="en-GB"/>
        </w:rPr>
        <w:t>ONCLUSIONS</w:t>
      </w:r>
    </w:p>
    <w:p w14:paraId="5DC00E1B" w14:textId="77777777" w:rsidR="00186CE3" w:rsidRPr="006833C4" w:rsidRDefault="00186CE3" w:rsidP="00186CE3">
      <w:pPr>
        <w:rPr>
          <w:lang w:val="en-GB"/>
        </w:rPr>
      </w:pPr>
    </w:p>
    <w:p w14:paraId="2BEA071E" w14:textId="77777777" w:rsidR="00186CE3" w:rsidRDefault="00186CE3" w:rsidP="00186CE3">
      <w:pPr>
        <w:pStyle w:val="ListParagraph"/>
        <w:numPr>
          <w:ilvl w:val="0"/>
          <w:numId w:val="18"/>
        </w:numPr>
        <w:ind w:left="0" w:firstLine="0"/>
        <w:jc w:val="both"/>
        <w:rPr>
          <w:lang w:val="en-GB"/>
        </w:rPr>
      </w:pPr>
      <w:r w:rsidRPr="00595FF3">
        <w:rPr>
          <w:color w:val="000000" w:themeColor="text1"/>
          <w:lang w:val="en-GB"/>
        </w:rPr>
        <w:t xml:space="preserve">The disequilibrium prices are the root cause of the Eurozone’s cross-country inequality. They are improving the relative position of the countries bigger in size and those with higher capital intensity. With the increase in the manufacturing share and decrease in the shares of construction and the public sector, the country can enhance its relative price position </w:t>
      </w:r>
      <w:r>
        <w:rPr>
          <w:lang w:val="en-GB"/>
        </w:rPr>
        <w:t>and lower/increase the loss/gain arising from the international value transfers. Moreover, the increase in the country’s relative position can be achieved with the increase in the less technologically advanced sectors.</w:t>
      </w:r>
    </w:p>
    <w:p w14:paraId="4C1FC431" w14:textId="77777777" w:rsidR="00186CE3" w:rsidRPr="00DE0876" w:rsidRDefault="00186CE3" w:rsidP="00186CE3">
      <w:pPr>
        <w:pStyle w:val="ListParagraph"/>
        <w:numPr>
          <w:ilvl w:val="0"/>
          <w:numId w:val="18"/>
        </w:numPr>
        <w:ind w:left="0" w:firstLine="0"/>
        <w:jc w:val="both"/>
        <w:rPr>
          <w:lang w:val="en-GB"/>
        </w:rPr>
      </w:pPr>
      <w:r w:rsidRPr="00DE0876">
        <w:rPr>
          <w:lang w:val="en-GB"/>
        </w:rPr>
        <w:t>It is observed that the influence of</w:t>
      </w:r>
      <w:r>
        <w:rPr>
          <w:lang w:val="en-GB"/>
        </w:rPr>
        <w:t xml:space="preserve"> the</w:t>
      </w:r>
      <w:r w:rsidRPr="00DE0876">
        <w:rPr>
          <w:lang w:val="en-GB"/>
        </w:rPr>
        <w:t xml:space="preserve"> technological composition, as an indicator of the development of the national production process, has a higher </w:t>
      </w:r>
      <w:r>
        <w:rPr>
          <w:lang w:val="en-GB"/>
        </w:rPr>
        <w:t xml:space="preserve">level of </w:t>
      </w:r>
      <w:r w:rsidRPr="00DE0876">
        <w:rPr>
          <w:lang w:val="en-GB"/>
        </w:rPr>
        <w:t xml:space="preserve">explanatory power </w:t>
      </w:r>
      <w:r>
        <w:rPr>
          <w:lang w:val="en-GB"/>
        </w:rPr>
        <w:t>regarding</w:t>
      </w:r>
      <w:r w:rsidRPr="00DE0876">
        <w:rPr>
          <w:lang w:val="en-GB"/>
        </w:rPr>
        <w:t xml:space="preserve"> the differences in efficiencies of national economies than is the case </w:t>
      </w:r>
      <w:r>
        <w:rPr>
          <w:lang w:val="en-GB"/>
        </w:rPr>
        <w:t>for</w:t>
      </w:r>
      <w:r w:rsidRPr="00DE0876">
        <w:rPr>
          <w:lang w:val="en-GB"/>
        </w:rPr>
        <w:t xml:space="preserve"> sectoral composition. This suggests that the share of high technology within the sector</w:t>
      </w:r>
      <w:r>
        <w:rPr>
          <w:lang w:val="en-GB"/>
        </w:rPr>
        <w:t>, combined with the high capital intensity,</w:t>
      </w:r>
      <w:r w:rsidRPr="00DE0876">
        <w:rPr>
          <w:lang w:val="en-GB"/>
        </w:rPr>
        <w:t xml:space="preserve"> is more important in determining countries’ relative position</w:t>
      </w:r>
      <w:r>
        <w:rPr>
          <w:lang w:val="en-GB"/>
        </w:rPr>
        <w:t>s</w:t>
      </w:r>
      <w:r w:rsidRPr="00DE0876">
        <w:rPr>
          <w:lang w:val="en-GB"/>
        </w:rPr>
        <w:t xml:space="preserve">, than the type of the sectors where it appears. </w:t>
      </w:r>
      <w:r>
        <w:rPr>
          <w:lang w:val="en-GB"/>
        </w:rPr>
        <w:t>The enhancing the country’s relative position is achievable through the expansion of the manufacturing and construction sectors.</w:t>
      </w:r>
    </w:p>
    <w:p w14:paraId="79B671C6" w14:textId="77777777" w:rsidR="00186CE3" w:rsidRDefault="00186CE3" w:rsidP="00186CE3">
      <w:pPr>
        <w:pStyle w:val="ListParagraph"/>
        <w:numPr>
          <w:ilvl w:val="0"/>
          <w:numId w:val="18"/>
        </w:numPr>
        <w:ind w:left="0" w:firstLine="0"/>
        <w:jc w:val="both"/>
        <w:rPr>
          <w:lang w:val="en-GB"/>
        </w:rPr>
      </w:pPr>
      <w:r w:rsidRPr="00A34DA4">
        <w:rPr>
          <w:lang w:val="en-GB"/>
        </w:rPr>
        <w:t>The Eurozone’s persisting cross-country inequality is a result of the distinctive cross-country efficiency levels</w:t>
      </w:r>
      <w:r>
        <w:rPr>
          <w:lang w:val="en-GB"/>
        </w:rPr>
        <w:t>,</w:t>
      </w:r>
      <w:r w:rsidRPr="00A34DA4">
        <w:rPr>
          <w:lang w:val="en-GB"/>
        </w:rPr>
        <w:t xml:space="preserve"> as well as distinctive cross-country utilization of the disequilibrium prices occurring on the commodities’ markets. These factors are reflected through the wage rate dynamics. The countries with higher capital intensity have higher efficiency, their commodities achieve higher prices, and their labour achieve</w:t>
      </w:r>
      <w:r>
        <w:rPr>
          <w:lang w:val="en-GB"/>
        </w:rPr>
        <w:t>s</w:t>
      </w:r>
      <w:r w:rsidRPr="00A34DA4">
        <w:rPr>
          <w:lang w:val="en-GB"/>
        </w:rPr>
        <w:t xml:space="preserve"> higher wage rates. The factors that are </w:t>
      </w:r>
      <w:r>
        <w:rPr>
          <w:lang w:val="en-GB"/>
        </w:rPr>
        <w:t xml:space="preserve">being </w:t>
      </w:r>
      <w:r w:rsidRPr="00A34DA4">
        <w:rPr>
          <w:lang w:val="en-GB"/>
        </w:rPr>
        <w:t>express</w:t>
      </w:r>
      <w:r>
        <w:rPr>
          <w:lang w:val="en-GB"/>
        </w:rPr>
        <w:t>ed</w:t>
      </w:r>
      <w:r w:rsidRPr="00A34DA4">
        <w:rPr>
          <w:lang w:val="en-GB"/>
        </w:rPr>
        <w:t xml:space="preserve"> through disequilibrium prices and efficiency, after 2008, have a negative impact on wage rates. The sectoral influence on disequilibrium prices and efficiency are not expressed in accordance with the sectoral influence on the wage rates. That being said, the wage rates are </w:t>
      </w:r>
      <w:r>
        <w:rPr>
          <w:lang w:val="en-GB"/>
        </w:rPr>
        <w:t xml:space="preserve">an </w:t>
      </w:r>
      <w:r w:rsidRPr="00A34DA4">
        <w:rPr>
          <w:lang w:val="en-GB"/>
        </w:rPr>
        <w:t xml:space="preserve">indisputable consequence of the relations within the national labour markets, where higher unemployment yields lower wage rates. The majority of the analysed countries, from </w:t>
      </w:r>
      <w:r>
        <w:rPr>
          <w:lang w:val="en-GB"/>
        </w:rPr>
        <w:t>the</w:t>
      </w:r>
      <w:r w:rsidRPr="00A34DA4">
        <w:rPr>
          <w:lang w:val="en-GB"/>
        </w:rPr>
        <w:t xml:space="preserve"> point of view of efficiency, price position</w:t>
      </w:r>
      <w:r>
        <w:rPr>
          <w:lang w:val="en-GB"/>
        </w:rPr>
        <w:t>,</w:t>
      </w:r>
      <w:r w:rsidRPr="00A34DA4">
        <w:rPr>
          <w:lang w:val="en-GB"/>
        </w:rPr>
        <w:t xml:space="preserve"> and technologies, is in a </w:t>
      </w:r>
      <w:r w:rsidRPr="00A34DA4">
        <w:rPr>
          <w:lang w:val="en-GB"/>
        </w:rPr>
        <w:lastRenderedPageBreak/>
        <w:t>subordinate position with regard to competition, which prevents them from neutralizing the labour market impact on the wage rate.</w:t>
      </w:r>
    </w:p>
    <w:p w14:paraId="6737C14C" w14:textId="77777777" w:rsidR="00186CE3" w:rsidRPr="00A34DA4" w:rsidRDefault="00186CE3" w:rsidP="00186CE3">
      <w:pPr>
        <w:pStyle w:val="ListParagraph"/>
        <w:numPr>
          <w:ilvl w:val="0"/>
          <w:numId w:val="18"/>
        </w:numPr>
        <w:ind w:left="0" w:firstLine="0"/>
        <w:jc w:val="both"/>
        <w:rPr>
          <w:lang w:val="en-GB"/>
        </w:rPr>
      </w:pPr>
      <w:r w:rsidRPr="00A34DA4">
        <w:rPr>
          <w:lang w:val="en-GB"/>
        </w:rPr>
        <w:t>The</w:t>
      </w:r>
      <w:r>
        <w:rPr>
          <w:lang w:val="en-GB"/>
        </w:rPr>
        <w:t xml:space="preserve"> profit rates are positively correlated with the country’s</w:t>
      </w:r>
      <w:r w:rsidRPr="00A34DA4">
        <w:rPr>
          <w:lang w:val="en-GB"/>
        </w:rPr>
        <w:t xml:space="preserve"> developed </w:t>
      </w:r>
      <w:r>
        <w:rPr>
          <w:lang w:val="en-GB"/>
        </w:rPr>
        <w:t>and inversely connected with the country’s wage rates</w:t>
      </w:r>
      <w:r w:rsidRPr="00A34DA4">
        <w:rPr>
          <w:lang w:val="en-GB"/>
        </w:rPr>
        <w:t xml:space="preserve">. The </w:t>
      </w:r>
      <w:r>
        <w:rPr>
          <w:lang w:val="en-GB"/>
        </w:rPr>
        <w:t xml:space="preserve">importance the latter relationship is </w:t>
      </w:r>
      <w:r w:rsidRPr="00A34DA4">
        <w:rPr>
          <w:lang w:val="en-GB"/>
        </w:rPr>
        <w:t xml:space="preserve">especially </w:t>
      </w:r>
      <w:r>
        <w:rPr>
          <w:lang w:val="en-GB"/>
        </w:rPr>
        <w:t>observable when considering the</w:t>
      </w:r>
      <w:r w:rsidRPr="00A34DA4">
        <w:rPr>
          <w:lang w:val="en-GB"/>
        </w:rPr>
        <w:t xml:space="preserve"> labour market</w:t>
      </w:r>
      <w:r>
        <w:rPr>
          <w:lang w:val="en-GB"/>
        </w:rPr>
        <w:t>s</w:t>
      </w:r>
      <w:r w:rsidRPr="00A34DA4">
        <w:rPr>
          <w:lang w:val="en-GB"/>
        </w:rPr>
        <w:t xml:space="preserve">, </w:t>
      </w:r>
      <w:r>
        <w:rPr>
          <w:lang w:val="en-GB"/>
        </w:rPr>
        <w:t>where</w:t>
      </w:r>
      <w:r w:rsidRPr="00A34DA4">
        <w:rPr>
          <w:lang w:val="en-GB"/>
        </w:rPr>
        <w:t xml:space="preserve"> the</w:t>
      </w:r>
      <w:r w:rsidRPr="00A943A2">
        <w:rPr>
          <w:lang w:val="en-GB"/>
        </w:rPr>
        <w:t xml:space="preserve"> </w:t>
      </w:r>
      <w:r w:rsidRPr="00A34DA4">
        <w:rPr>
          <w:lang w:val="en-GB"/>
        </w:rPr>
        <w:t xml:space="preserve">unemployment increase </w:t>
      </w:r>
      <w:r>
        <w:rPr>
          <w:lang w:val="en-GB"/>
        </w:rPr>
        <w:t>lowers the</w:t>
      </w:r>
      <w:r w:rsidRPr="00A34DA4">
        <w:rPr>
          <w:lang w:val="en-GB"/>
        </w:rPr>
        <w:t xml:space="preserve"> wage rates concurrently with the increase </w:t>
      </w:r>
      <w:r>
        <w:rPr>
          <w:lang w:val="en-GB"/>
        </w:rPr>
        <w:t>in</w:t>
      </w:r>
      <w:r w:rsidRPr="00A34DA4">
        <w:rPr>
          <w:lang w:val="en-GB"/>
        </w:rPr>
        <w:t xml:space="preserve"> profit rates, and </w:t>
      </w:r>
      <w:r w:rsidRPr="00A34DA4">
        <w:rPr>
          <w:i/>
          <w:lang w:val="en-GB"/>
        </w:rPr>
        <w:t>vice versa</w:t>
      </w:r>
      <w:r w:rsidRPr="00A34DA4">
        <w:rPr>
          <w:lang w:val="en-GB"/>
        </w:rPr>
        <w:t xml:space="preserve">. </w:t>
      </w:r>
      <w:r>
        <w:rPr>
          <w:lang w:val="en-GB"/>
        </w:rPr>
        <w:t>The rise in the manufacturing share, besides the higher efficiency and better price position, results in a profit rate increase. Accordingly, the countries with less advanced technologies and a higher manufacturing share obtain higher profit rates.</w:t>
      </w:r>
    </w:p>
    <w:p w14:paraId="60FF70ED" w14:textId="77777777" w:rsidR="00186CE3" w:rsidRPr="006833C4" w:rsidRDefault="00186CE3" w:rsidP="00186CE3">
      <w:pPr>
        <w:pStyle w:val="ListParagraph"/>
        <w:numPr>
          <w:ilvl w:val="0"/>
          <w:numId w:val="18"/>
        </w:numPr>
        <w:ind w:left="0" w:firstLine="0"/>
        <w:jc w:val="both"/>
        <w:rPr>
          <w:lang w:val="en-GB"/>
        </w:rPr>
      </w:pPr>
      <w:r w:rsidRPr="006833C4">
        <w:rPr>
          <w:lang w:val="en-GB"/>
        </w:rPr>
        <w:t xml:space="preserve">The individual Eurozone member states spend different amounts of work for the production of the unit of the equilibrium national income. Consequently, as indicated by the theory of unequal exchange, it can be concluded that the workers within the less developed countries are working for the incomes that are, in </w:t>
      </w:r>
      <w:r>
        <w:rPr>
          <w:lang w:val="en-GB"/>
        </w:rPr>
        <w:t xml:space="preserve">the </w:t>
      </w:r>
      <w:r w:rsidRPr="006833C4">
        <w:rPr>
          <w:lang w:val="en-GB"/>
        </w:rPr>
        <w:t xml:space="preserve">final instance, reaped by the individuals in the more advanced member states. In particular, after the outbreak of the 2008/09 crisis, the less developed countries needed to invest more and more labour for the production of a unit of equilibrium national income. </w:t>
      </w:r>
      <w:r>
        <w:rPr>
          <w:lang w:val="en-GB"/>
        </w:rPr>
        <w:t xml:space="preserve">Higher shares of the construction and service sectors, and more developed technology, result in the lesser recognition of the consumed labour within the equilibrium </w:t>
      </w:r>
      <m:oMath>
        <m:r>
          <w:rPr>
            <w:rFonts w:ascii="Cambria Math" w:hAnsi="Cambria Math"/>
            <w:lang w:val="en-GB"/>
          </w:rPr>
          <m:t>GDP</m:t>
        </m:r>
      </m:oMath>
      <w:r>
        <w:rPr>
          <w:lang w:val="en-GB"/>
        </w:rPr>
        <w:t>, with significant across countries deviation.</w:t>
      </w:r>
    </w:p>
    <w:p w14:paraId="429C18A7" w14:textId="77777777" w:rsidR="00186CE3" w:rsidRPr="006833C4" w:rsidRDefault="00186CE3" w:rsidP="00186CE3">
      <w:pPr>
        <w:pStyle w:val="ListParagraph"/>
        <w:numPr>
          <w:ilvl w:val="0"/>
          <w:numId w:val="18"/>
        </w:numPr>
        <w:ind w:left="0" w:firstLine="0"/>
        <w:jc w:val="both"/>
        <w:rPr>
          <w:lang w:val="en-GB"/>
        </w:rPr>
      </w:pPr>
      <w:r>
        <w:rPr>
          <w:lang w:val="en-GB"/>
        </w:rPr>
        <w:t>Beginning from 2011, t</w:t>
      </w:r>
      <w:r w:rsidRPr="006833C4">
        <w:rPr>
          <w:lang w:val="en-GB"/>
        </w:rPr>
        <w:t>he employ</w:t>
      </w:r>
      <w:r>
        <w:rPr>
          <w:lang w:val="en-GB"/>
        </w:rPr>
        <w:t>ed</w:t>
      </w:r>
      <w:r w:rsidRPr="006833C4">
        <w:rPr>
          <w:lang w:val="en-GB"/>
        </w:rPr>
        <w:t xml:space="preserve"> are working less and less for the part of the </w:t>
      </w:r>
      <m:oMath>
        <m:r>
          <w:rPr>
            <w:rFonts w:ascii="Cambria Math" w:hAnsi="Cambria Math"/>
            <w:lang w:val="en-GB"/>
          </w:rPr>
          <m:t>GDP</m:t>
        </m:r>
      </m:oMath>
      <w:r w:rsidRPr="006833C4">
        <w:rPr>
          <w:lang w:val="en-GB"/>
        </w:rPr>
        <w:t xml:space="preserve"> that they appropriate in the form of their non-profit income (wages and public sector incomes). The more developed and the smaller the country, </w:t>
      </w:r>
      <w:r>
        <w:rPr>
          <w:lang w:val="en-GB"/>
        </w:rPr>
        <w:t xml:space="preserve">the more time </w:t>
      </w:r>
      <w:r w:rsidRPr="006833C4">
        <w:rPr>
          <w:lang w:val="en-GB"/>
        </w:rPr>
        <w:t xml:space="preserve">its </w:t>
      </w:r>
      <w:r>
        <w:rPr>
          <w:lang w:val="en-GB"/>
        </w:rPr>
        <w:t>workers</w:t>
      </w:r>
      <w:r w:rsidRPr="006833C4">
        <w:rPr>
          <w:lang w:val="en-GB"/>
        </w:rPr>
        <w:t xml:space="preserve"> spent working for themselves. Moreover, this is consistent with the identified technological impacts. Additionally, the sectors that are crucial for the</w:t>
      </w:r>
      <w:r>
        <w:rPr>
          <w:lang w:val="en-GB"/>
        </w:rPr>
        <w:t xml:space="preserve"> lowering of the</w:t>
      </w:r>
      <w:r w:rsidRPr="006833C4">
        <w:rPr>
          <w:lang w:val="en-GB"/>
        </w:rPr>
        <w:t xml:space="preserve"> exploitation rate, are sectors </w:t>
      </w:r>
      <w:r>
        <w:rPr>
          <w:lang w:val="en-GB"/>
        </w:rPr>
        <w:t>of agriculture and manufacturing, and other activities employing less advanced technology</w:t>
      </w:r>
      <w:r w:rsidRPr="006833C4">
        <w:rPr>
          <w:lang w:val="en-GB"/>
        </w:rPr>
        <w:t>.</w:t>
      </w:r>
    </w:p>
    <w:p w14:paraId="796A8F5D" w14:textId="77777777" w:rsidR="00186CE3" w:rsidRPr="006833C4" w:rsidRDefault="00186CE3" w:rsidP="00186CE3">
      <w:pPr>
        <w:rPr>
          <w:lang w:val="en-GB"/>
        </w:rPr>
      </w:pPr>
    </w:p>
    <w:p w14:paraId="080AD4AE" w14:textId="5E84F016" w:rsidR="00186CE3" w:rsidRPr="006833C4" w:rsidRDefault="00D00498" w:rsidP="00186CE3">
      <w:pPr>
        <w:rPr>
          <w:b/>
          <w:lang w:val="en-GB"/>
        </w:rPr>
      </w:pPr>
      <w:r>
        <w:rPr>
          <w:b/>
          <w:lang w:val="en-GB"/>
        </w:rPr>
        <w:t>BIBLIOGRAPHY</w:t>
      </w:r>
    </w:p>
    <w:p w14:paraId="228DCE49" w14:textId="77777777" w:rsidR="00186CE3" w:rsidRPr="006833C4" w:rsidRDefault="00186CE3" w:rsidP="00186CE3">
      <w:pPr>
        <w:spacing w:line="276" w:lineRule="auto"/>
        <w:contextualSpacing/>
        <w:jc w:val="both"/>
        <w:rPr>
          <w:lang w:val="en-GB"/>
        </w:rPr>
      </w:pPr>
    </w:p>
    <w:p w14:paraId="7E9299B0" w14:textId="77777777" w:rsidR="009B624A" w:rsidRPr="00092C9F" w:rsidRDefault="00186CE3" w:rsidP="00D00498">
      <w:pPr>
        <w:spacing w:line="276" w:lineRule="auto"/>
        <w:jc w:val="both"/>
        <w:rPr>
          <w:b/>
          <w:color w:val="000000" w:themeColor="text1"/>
          <w:lang w:val="en-GB"/>
        </w:rPr>
      </w:pPr>
      <w:proofErr w:type="spellStart"/>
      <w:r w:rsidRPr="00092C9F">
        <w:rPr>
          <w:color w:val="000000" w:themeColor="text1"/>
          <w:lang w:val="en-GB"/>
        </w:rPr>
        <w:t>Amadou</w:t>
      </w:r>
      <w:proofErr w:type="spellEnd"/>
      <w:r w:rsidRPr="00092C9F">
        <w:rPr>
          <w:color w:val="000000" w:themeColor="text1"/>
          <w:lang w:val="en-GB"/>
        </w:rPr>
        <w:t>, D. I. (2011)</w:t>
      </w:r>
      <w:r w:rsidR="009B624A" w:rsidRPr="00092C9F">
        <w:rPr>
          <w:color w:val="000000" w:themeColor="text1"/>
          <w:lang w:val="en-GB"/>
        </w:rPr>
        <w:t>:</w:t>
      </w:r>
      <w:r w:rsidRPr="00092C9F">
        <w:rPr>
          <w:color w:val="000000" w:themeColor="text1"/>
          <w:lang w:val="en-GB"/>
        </w:rPr>
        <w:t xml:space="preserve"> </w:t>
      </w:r>
      <w:r w:rsidRPr="00092C9F">
        <w:rPr>
          <w:b/>
          <w:color w:val="000000" w:themeColor="text1"/>
          <w:lang w:val="en-GB"/>
        </w:rPr>
        <w:t xml:space="preserve">STOCKCAPIT: Stata Module to Calculate Physical Capital Stock </w:t>
      </w:r>
    </w:p>
    <w:p w14:paraId="352F8D67" w14:textId="03661725" w:rsidR="00186CE3" w:rsidRPr="00092C9F" w:rsidRDefault="00186CE3" w:rsidP="00D00498">
      <w:pPr>
        <w:spacing w:line="276" w:lineRule="auto"/>
        <w:ind w:firstLine="720"/>
        <w:jc w:val="both"/>
        <w:rPr>
          <w:lang w:val="en-GB"/>
        </w:rPr>
      </w:pPr>
      <w:r w:rsidRPr="00092C9F">
        <w:rPr>
          <w:b/>
          <w:color w:val="000000" w:themeColor="text1"/>
          <w:lang w:val="en-GB"/>
        </w:rPr>
        <w:t>by the Perpetual-Inventory Method</w:t>
      </w:r>
      <w:r w:rsidR="009B624A" w:rsidRPr="00092C9F">
        <w:rPr>
          <w:color w:val="000000" w:themeColor="text1"/>
          <w:lang w:val="en-GB"/>
        </w:rPr>
        <w:t>,</w:t>
      </w:r>
      <w:r w:rsidRPr="00092C9F">
        <w:rPr>
          <w:b/>
          <w:color w:val="000000" w:themeColor="text1"/>
          <w:lang w:val="en-GB"/>
        </w:rPr>
        <w:t xml:space="preserve"> </w:t>
      </w:r>
      <w:r w:rsidRPr="00092C9F">
        <w:rPr>
          <w:b/>
          <w:i/>
          <w:color w:val="000000" w:themeColor="text1"/>
          <w:lang w:val="en-GB"/>
        </w:rPr>
        <w:t>Statistical Software Components</w:t>
      </w:r>
      <w:r w:rsidR="009B624A" w:rsidRPr="00092C9F">
        <w:rPr>
          <w:i/>
          <w:color w:val="000000" w:themeColor="text1"/>
          <w:lang w:val="en-GB"/>
        </w:rPr>
        <w:t>,</w:t>
      </w:r>
      <w:r w:rsidRPr="00092C9F">
        <w:rPr>
          <w:i/>
          <w:color w:val="000000" w:themeColor="text1"/>
          <w:lang w:val="en-GB"/>
        </w:rPr>
        <w:t xml:space="preserve"> S457270.</w:t>
      </w:r>
    </w:p>
    <w:p w14:paraId="32491D18" w14:textId="77777777" w:rsidR="00670630" w:rsidRPr="00092C9F" w:rsidRDefault="00186CE3" w:rsidP="00D00498">
      <w:pPr>
        <w:spacing w:line="276" w:lineRule="auto"/>
        <w:jc w:val="both"/>
        <w:rPr>
          <w:b/>
          <w:lang w:val="en-GB"/>
        </w:rPr>
      </w:pPr>
      <w:r w:rsidRPr="00092C9F">
        <w:rPr>
          <w:lang w:val="en-GB"/>
        </w:rPr>
        <w:t>Amin, S. (1976)</w:t>
      </w:r>
      <w:r w:rsidR="00670630" w:rsidRPr="00092C9F">
        <w:t>:</w:t>
      </w:r>
      <w:r w:rsidRPr="00092C9F">
        <w:rPr>
          <w:lang w:val="en-GB"/>
        </w:rPr>
        <w:t xml:space="preserve"> </w:t>
      </w:r>
      <w:r w:rsidRPr="00092C9F">
        <w:rPr>
          <w:b/>
          <w:lang w:val="en-GB"/>
        </w:rPr>
        <w:t xml:space="preserve">Unequal development: An essay on the social formations of peripheral </w:t>
      </w:r>
    </w:p>
    <w:p w14:paraId="7C507BCF" w14:textId="43ABD64D" w:rsidR="00186CE3" w:rsidRPr="00092C9F" w:rsidRDefault="00186CE3" w:rsidP="00D00498">
      <w:pPr>
        <w:spacing w:line="276" w:lineRule="auto"/>
        <w:ind w:firstLine="720"/>
        <w:jc w:val="both"/>
        <w:rPr>
          <w:i/>
          <w:lang w:val="en-GB"/>
        </w:rPr>
      </w:pPr>
      <w:r w:rsidRPr="00092C9F">
        <w:rPr>
          <w:b/>
          <w:lang w:val="en-GB"/>
        </w:rPr>
        <w:t>capitalism</w:t>
      </w:r>
      <w:r w:rsidR="00670630" w:rsidRPr="00092C9F">
        <w:rPr>
          <w:lang w:val="en-GB"/>
        </w:rPr>
        <w:t>,</w:t>
      </w:r>
      <w:r w:rsidRPr="00092C9F">
        <w:rPr>
          <w:lang w:val="en-GB"/>
        </w:rPr>
        <w:t xml:space="preserve"> New York: Monthly Review Press.</w:t>
      </w:r>
    </w:p>
    <w:p w14:paraId="328CABAE" w14:textId="77777777" w:rsidR="003B6D30" w:rsidRPr="00092C9F" w:rsidRDefault="00186CE3" w:rsidP="00D00498">
      <w:pPr>
        <w:autoSpaceDE w:val="0"/>
        <w:autoSpaceDN w:val="0"/>
        <w:adjustRightInd w:val="0"/>
        <w:spacing w:line="276" w:lineRule="auto"/>
        <w:jc w:val="both"/>
      </w:pPr>
      <w:r w:rsidRPr="00092C9F">
        <w:t>Anand, S. and Segal, P. (2015)</w:t>
      </w:r>
      <w:r w:rsidR="003B6D30" w:rsidRPr="00092C9F">
        <w:t>:</w:t>
      </w:r>
      <w:r w:rsidRPr="00092C9F">
        <w:t xml:space="preserve"> </w:t>
      </w:r>
      <w:r w:rsidRPr="00092C9F">
        <w:rPr>
          <w:b/>
        </w:rPr>
        <w:t>The global distribution of income</w:t>
      </w:r>
      <w:r w:rsidRPr="00092C9F">
        <w:t xml:space="preserve">. In Atkinson, A. B. and </w:t>
      </w:r>
    </w:p>
    <w:p w14:paraId="36AABAC5" w14:textId="4875F034" w:rsidR="00186CE3" w:rsidRPr="00092C9F" w:rsidRDefault="00186CE3" w:rsidP="00D00498">
      <w:pPr>
        <w:autoSpaceDE w:val="0"/>
        <w:autoSpaceDN w:val="0"/>
        <w:adjustRightInd w:val="0"/>
        <w:spacing w:line="276" w:lineRule="auto"/>
        <w:ind w:left="720"/>
        <w:jc w:val="both"/>
      </w:pPr>
      <w:r w:rsidRPr="00092C9F">
        <w:t>Bourguignon, F</w:t>
      </w:r>
      <w:r w:rsidR="00181932" w:rsidRPr="00092C9F">
        <w:t>.,</w:t>
      </w:r>
      <w:r w:rsidRPr="00092C9F">
        <w:t xml:space="preserve"> </w:t>
      </w:r>
      <w:r w:rsidR="00181932" w:rsidRPr="00092C9F">
        <w:t>e</w:t>
      </w:r>
      <w:r w:rsidRPr="00092C9F">
        <w:t>ds.</w:t>
      </w:r>
      <w:r w:rsidR="00181932" w:rsidRPr="00092C9F">
        <w:t>:</w:t>
      </w:r>
      <w:r w:rsidRPr="00092C9F">
        <w:rPr>
          <w:i/>
        </w:rPr>
        <w:t xml:space="preserve"> </w:t>
      </w:r>
      <w:r w:rsidRPr="00092C9F">
        <w:rPr>
          <w:b/>
        </w:rPr>
        <w:t>Handbook of Income Distribution Vol. 2.</w:t>
      </w:r>
      <w:r w:rsidR="003B6D30" w:rsidRPr="00092C9F">
        <w:rPr>
          <w:b/>
        </w:rPr>
        <w:t>,</w:t>
      </w:r>
      <w:r w:rsidRPr="00092C9F">
        <w:t xml:space="preserve"> Amsterdam: Elsevier.</w:t>
      </w:r>
    </w:p>
    <w:p w14:paraId="19F62745" w14:textId="77777777" w:rsidR="009B624A" w:rsidRPr="00092C9F" w:rsidRDefault="00186CE3" w:rsidP="00D00498">
      <w:pPr>
        <w:autoSpaceDE w:val="0"/>
        <w:autoSpaceDN w:val="0"/>
        <w:adjustRightInd w:val="0"/>
        <w:spacing w:line="276" w:lineRule="auto"/>
        <w:jc w:val="both"/>
        <w:rPr>
          <w:b/>
        </w:rPr>
      </w:pPr>
      <w:r w:rsidRPr="00092C9F">
        <w:t>Bacha, E. L. (1978)</w:t>
      </w:r>
      <w:r w:rsidR="009B624A" w:rsidRPr="00092C9F">
        <w:t>:</w:t>
      </w:r>
      <w:r w:rsidRPr="00092C9F">
        <w:t xml:space="preserve"> </w:t>
      </w:r>
      <w:r w:rsidRPr="00092C9F">
        <w:rPr>
          <w:b/>
        </w:rPr>
        <w:t xml:space="preserve">An Interpretation of Unequal Exchange from </w:t>
      </w:r>
      <w:proofErr w:type="spellStart"/>
      <w:r w:rsidRPr="00092C9F">
        <w:rPr>
          <w:b/>
        </w:rPr>
        <w:t>Prebisch</w:t>
      </w:r>
      <w:proofErr w:type="spellEnd"/>
      <w:r w:rsidRPr="00092C9F">
        <w:rPr>
          <w:b/>
        </w:rPr>
        <w:t xml:space="preserve">-Singer to </w:t>
      </w:r>
    </w:p>
    <w:p w14:paraId="4ECBFA19" w14:textId="45CDC1C2" w:rsidR="00186CE3" w:rsidRPr="00092C9F" w:rsidRDefault="00186CE3" w:rsidP="00D00498">
      <w:pPr>
        <w:autoSpaceDE w:val="0"/>
        <w:autoSpaceDN w:val="0"/>
        <w:adjustRightInd w:val="0"/>
        <w:spacing w:line="276" w:lineRule="auto"/>
        <w:ind w:firstLine="720"/>
        <w:jc w:val="both"/>
      </w:pPr>
      <w:r w:rsidRPr="00092C9F">
        <w:rPr>
          <w:b/>
        </w:rPr>
        <w:t>Emmanuel</w:t>
      </w:r>
      <w:r w:rsidR="009B624A" w:rsidRPr="00092C9F">
        <w:t>,</w:t>
      </w:r>
      <w:r w:rsidRPr="00092C9F">
        <w:rPr>
          <w:b/>
        </w:rPr>
        <w:t xml:space="preserve"> </w:t>
      </w:r>
      <w:r w:rsidRPr="00092C9F">
        <w:rPr>
          <w:b/>
          <w:i/>
        </w:rPr>
        <w:t>Journal of Development Economics</w:t>
      </w:r>
      <w:r w:rsidRPr="00092C9F">
        <w:t>, 5</w:t>
      </w:r>
      <w:r w:rsidR="009B624A" w:rsidRPr="00092C9F">
        <w:t xml:space="preserve">: </w:t>
      </w:r>
      <w:r w:rsidRPr="00092C9F">
        <w:t>319-330.</w:t>
      </w:r>
    </w:p>
    <w:p w14:paraId="7CFEB3BB" w14:textId="77777777" w:rsidR="009B624A" w:rsidRPr="00092C9F" w:rsidRDefault="00186CE3" w:rsidP="00D00498">
      <w:pPr>
        <w:widowControl w:val="0"/>
        <w:spacing w:line="276" w:lineRule="auto"/>
        <w:jc w:val="both"/>
        <w:rPr>
          <w:b/>
          <w:i/>
          <w:color w:val="000000" w:themeColor="text1"/>
          <w:lang w:val="en-GB"/>
        </w:rPr>
      </w:pPr>
      <w:proofErr w:type="spellStart"/>
      <w:r w:rsidRPr="00092C9F">
        <w:rPr>
          <w:color w:val="000000" w:themeColor="text1"/>
          <w:lang w:val="en-GB"/>
        </w:rPr>
        <w:t>Baiman</w:t>
      </w:r>
      <w:proofErr w:type="spellEnd"/>
      <w:r w:rsidRPr="00092C9F">
        <w:rPr>
          <w:color w:val="000000" w:themeColor="text1"/>
          <w:lang w:val="en-GB"/>
        </w:rPr>
        <w:t>, R. (2014)</w:t>
      </w:r>
      <w:r w:rsidR="009B624A" w:rsidRPr="00092C9F">
        <w:rPr>
          <w:color w:val="000000" w:themeColor="text1"/>
          <w:lang w:val="en-GB"/>
        </w:rPr>
        <w:t>:</w:t>
      </w:r>
      <w:r w:rsidRPr="00092C9F">
        <w:rPr>
          <w:color w:val="000000" w:themeColor="text1"/>
          <w:lang w:val="en-GB"/>
        </w:rPr>
        <w:t xml:space="preserve"> </w:t>
      </w:r>
      <w:r w:rsidRPr="00092C9F">
        <w:rPr>
          <w:b/>
          <w:color w:val="000000" w:themeColor="text1"/>
          <w:lang w:val="en-GB"/>
        </w:rPr>
        <w:t>Unequal Exchange and the Rentier Economy</w:t>
      </w:r>
      <w:r w:rsidR="009B624A" w:rsidRPr="00092C9F">
        <w:rPr>
          <w:color w:val="000000" w:themeColor="text1"/>
          <w:lang w:val="en-GB"/>
        </w:rPr>
        <w:t>,</w:t>
      </w:r>
      <w:r w:rsidRPr="00092C9F">
        <w:rPr>
          <w:b/>
          <w:color w:val="000000" w:themeColor="text1"/>
          <w:lang w:val="en-GB"/>
        </w:rPr>
        <w:t xml:space="preserve"> </w:t>
      </w:r>
      <w:r w:rsidRPr="00092C9F">
        <w:rPr>
          <w:b/>
          <w:i/>
          <w:color w:val="000000" w:themeColor="text1"/>
          <w:lang w:val="en-GB"/>
        </w:rPr>
        <w:t xml:space="preserve">Review of Radical </w:t>
      </w:r>
    </w:p>
    <w:p w14:paraId="02466575" w14:textId="7953EBD1" w:rsidR="00186CE3" w:rsidRPr="00092C9F" w:rsidRDefault="00186CE3" w:rsidP="00D00498">
      <w:pPr>
        <w:widowControl w:val="0"/>
        <w:spacing w:line="276" w:lineRule="auto"/>
        <w:ind w:firstLine="720"/>
        <w:jc w:val="both"/>
        <w:rPr>
          <w:color w:val="000000" w:themeColor="text1"/>
          <w:lang w:val="en-GB"/>
        </w:rPr>
      </w:pPr>
      <w:r w:rsidRPr="00092C9F">
        <w:rPr>
          <w:b/>
          <w:i/>
          <w:color w:val="000000" w:themeColor="text1"/>
          <w:lang w:val="en-GB"/>
        </w:rPr>
        <w:t>Political Economics</w:t>
      </w:r>
      <w:r w:rsidRPr="00092C9F">
        <w:rPr>
          <w:color w:val="000000" w:themeColor="text1"/>
          <w:lang w:val="en-GB"/>
        </w:rPr>
        <w:t>, 44</w:t>
      </w:r>
      <w:r w:rsidR="009B624A" w:rsidRPr="00092C9F">
        <w:rPr>
          <w:color w:val="000000" w:themeColor="text1"/>
          <w:lang w:val="en-GB"/>
        </w:rPr>
        <w:t xml:space="preserve">: </w:t>
      </w:r>
      <w:r w:rsidRPr="00092C9F">
        <w:rPr>
          <w:color w:val="000000" w:themeColor="text1"/>
          <w:lang w:val="en-GB"/>
        </w:rPr>
        <w:t>535-557</w:t>
      </w:r>
      <w:r w:rsidRPr="00092C9F">
        <w:rPr>
          <w:color w:val="000000" w:themeColor="text1"/>
          <w:shd w:val="clear" w:color="auto" w:fill="FFFFFF"/>
        </w:rPr>
        <w:t>.</w:t>
      </w:r>
    </w:p>
    <w:p w14:paraId="61AEDAD8" w14:textId="2EB239A9" w:rsidR="00186CE3" w:rsidRPr="00092C9F" w:rsidRDefault="00186CE3" w:rsidP="00D00498">
      <w:pPr>
        <w:widowControl w:val="0"/>
        <w:spacing w:line="276" w:lineRule="auto"/>
        <w:jc w:val="both"/>
        <w:rPr>
          <w:rFonts w:eastAsiaTheme="minorHAnsi"/>
          <w:szCs w:val="18"/>
          <w:lang w:val="en-GB"/>
        </w:rPr>
      </w:pPr>
      <w:r w:rsidRPr="00092C9F">
        <w:rPr>
          <w:rFonts w:eastAsiaTheme="minorHAnsi"/>
          <w:szCs w:val="18"/>
          <w:lang w:val="en-GB"/>
        </w:rPr>
        <w:t>Barro, R. J. (1997)</w:t>
      </w:r>
      <w:r w:rsidR="00670630" w:rsidRPr="00092C9F">
        <w:rPr>
          <w:rFonts w:eastAsiaTheme="minorHAnsi"/>
          <w:szCs w:val="18"/>
          <w:lang w:val="en-GB"/>
        </w:rPr>
        <w:t>:</w:t>
      </w:r>
      <w:r w:rsidRPr="00092C9F">
        <w:rPr>
          <w:rFonts w:eastAsiaTheme="minorHAnsi"/>
          <w:szCs w:val="18"/>
          <w:lang w:val="en-GB"/>
        </w:rPr>
        <w:t xml:space="preserve"> </w:t>
      </w:r>
      <w:r w:rsidRPr="00092C9F">
        <w:rPr>
          <w:rFonts w:eastAsiaTheme="minorHAnsi"/>
          <w:b/>
          <w:szCs w:val="18"/>
          <w:lang w:val="en-GB"/>
        </w:rPr>
        <w:t>Determinants of Economic Growth, Cambridge</w:t>
      </w:r>
      <w:r w:rsidR="00670630" w:rsidRPr="00092C9F">
        <w:rPr>
          <w:rFonts w:eastAsiaTheme="minorHAnsi"/>
          <w:szCs w:val="18"/>
          <w:lang w:val="en-GB"/>
        </w:rPr>
        <w:t>,</w:t>
      </w:r>
      <w:r w:rsidRPr="00092C9F">
        <w:rPr>
          <w:rFonts w:eastAsiaTheme="minorHAnsi"/>
          <w:szCs w:val="18"/>
          <w:lang w:val="en-GB"/>
        </w:rPr>
        <w:t xml:space="preserve"> MIT Press.</w:t>
      </w:r>
    </w:p>
    <w:p w14:paraId="1758C5E0" w14:textId="77777777" w:rsidR="00670630" w:rsidRPr="00092C9F" w:rsidRDefault="00186CE3" w:rsidP="00D00498">
      <w:pPr>
        <w:spacing w:line="276" w:lineRule="auto"/>
        <w:jc w:val="both"/>
        <w:rPr>
          <w:lang w:val="en-GB"/>
        </w:rPr>
      </w:pPr>
      <w:r w:rsidRPr="00092C9F">
        <w:rPr>
          <w:lang w:val="en-GB"/>
        </w:rPr>
        <w:t>Bauer, O. (2000)</w:t>
      </w:r>
      <w:r w:rsidR="00670630" w:rsidRPr="00092C9F">
        <w:rPr>
          <w:lang w:val="en-GB"/>
        </w:rPr>
        <w:t>:</w:t>
      </w:r>
      <w:r w:rsidRPr="00092C9F">
        <w:rPr>
          <w:lang w:val="en-GB"/>
        </w:rPr>
        <w:t xml:space="preserve"> </w:t>
      </w:r>
      <w:r w:rsidRPr="00092C9F">
        <w:rPr>
          <w:b/>
          <w:lang w:val="en-GB"/>
        </w:rPr>
        <w:t>The Question of Nationalities and Social Democracy</w:t>
      </w:r>
      <w:r w:rsidR="00670630" w:rsidRPr="00092C9F">
        <w:rPr>
          <w:lang w:val="en-GB"/>
        </w:rPr>
        <w:t>,</w:t>
      </w:r>
      <w:r w:rsidRPr="00092C9F">
        <w:rPr>
          <w:lang w:val="en-GB"/>
        </w:rPr>
        <w:t xml:space="preserve"> London: </w:t>
      </w:r>
    </w:p>
    <w:p w14:paraId="0C0E8A28" w14:textId="564B0702" w:rsidR="00186CE3" w:rsidRPr="00092C9F" w:rsidRDefault="00186CE3" w:rsidP="00D00498">
      <w:pPr>
        <w:spacing w:line="276" w:lineRule="auto"/>
        <w:ind w:firstLine="720"/>
        <w:jc w:val="both"/>
        <w:rPr>
          <w:lang w:val="en-GB"/>
        </w:rPr>
      </w:pPr>
      <w:r w:rsidRPr="00092C9F">
        <w:rPr>
          <w:lang w:val="en-GB"/>
        </w:rPr>
        <w:t>University of Minnesota Press.</w:t>
      </w:r>
    </w:p>
    <w:p w14:paraId="5382D7B5" w14:textId="77777777" w:rsidR="009B624A" w:rsidRPr="00092C9F" w:rsidRDefault="00186CE3" w:rsidP="00D00498">
      <w:pPr>
        <w:widowControl w:val="0"/>
        <w:spacing w:line="276" w:lineRule="auto"/>
        <w:jc w:val="both"/>
        <w:rPr>
          <w:b/>
          <w:lang w:val="en-GB"/>
        </w:rPr>
      </w:pPr>
      <w:proofErr w:type="spellStart"/>
      <w:r w:rsidRPr="00092C9F">
        <w:rPr>
          <w:lang w:val="en-GB"/>
        </w:rPr>
        <w:t>Berlemann</w:t>
      </w:r>
      <w:proofErr w:type="spellEnd"/>
      <w:r w:rsidRPr="00092C9F">
        <w:rPr>
          <w:lang w:val="en-GB"/>
        </w:rPr>
        <w:t xml:space="preserve">, M. and </w:t>
      </w:r>
      <w:proofErr w:type="spellStart"/>
      <w:r w:rsidRPr="00092C9F">
        <w:rPr>
          <w:lang w:val="en-GB"/>
        </w:rPr>
        <w:t>Wesselhöft</w:t>
      </w:r>
      <w:proofErr w:type="spellEnd"/>
      <w:r w:rsidRPr="00092C9F">
        <w:rPr>
          <w:lang w:val="en-GB"/>
        </w:rPr>
        <w:t>, J-E. (2014)</w:t>
      </w:r>
      <w:r w:rsidR="009B624A" w:rsidRPr="00092C9F">
        <w:rPr>
          <w:lang w:val="en-GB"/>
        </w:rPr>
        <w:t>:</w:t>
      </w:r>
      <w:r w:rsidRPr="00092C9F">
        <w:rPr>
          <w:lang w:val="en-GB"/>
        </w:rPr>
        <w:t xml:space="preserve"> </w:t>
      </w:r>
      <w:r w:rsidRPr="00092C9F">
        <w:rPr>
          <w:b/>
          <w:lang w:val="en-GB"/>
        </w:rPr>
        <w:t xml:space="preserve">Estimating Aggregate Capital Stocks Using </w:t>
      </w:r>
    </w:p>
    <w:p w14:paraId="24D6EA6A" w14:textId="4414B204" w:rsidR="00186CE3" w:rsidRPr="00092C9F" w:rsidRDefault="00186CE3" w:rsidP="00D00498">
      <w:pPr>
        <w:widowControl w:val="0"/>
        <w:spacing w:line="276" w:lineRule="auto"/>
        <w:ind w:firstLine="720"/>
        <w:jc w:val="both"/>
        <w:rPr>
          <w:lang w:val="en-GB"/>
        </w:rPr>
      </w:pPr>
      <w:r w:rsidRPr="00092C9F">
        <w:rPr>
          <w:b/>
          <w:lang w:val="en-GB"/>
        </w:rPr>
        <w:t>the Perpetual Inventory Method</w:t>
      </w:r>
      <w:r w:rsidR="009B624A" w:rsidRPr="00092C9F">
        <w:rPr>
          <w:lang w:val="en-GB"/>
        </w:rPr>
        <w:t>,</w:t>
      </w:r>
      <w:r w:rsidRPr="00092C9F">
        <w:rPr>
          <w:b/>
          <w:i/>
          <w:lang w:val="en-GB"/>
        </w:rPr>
        <w:t xml:space="preserve"> Review of Economics</w:t>
      </w:r>
      <w:r w:rsidRPr="00092C9F">
        <w:rPr>
          <w:lang w:val="en-GB"/>
        </w:rPr>
        <w:t>, 65</w:t>
      </w:r>
      <w:r w:rsidR="009B624A" w:rsidRPr="00092C9F">
        <w:rPr>
          <w:lang w:val="en-GB"/>
        </w:rPr>
        <w:t xml:space="preserve">: </w:t>
      </w:r>
      <w:r w:rsidRPr="00092C9F">
        <w:rPr>
          <w:lang w:val="en-GB"/>
        </w:rPr>
        <w:t>1-34.</w:t>
      </w:r>
    </w:p>
    <w:p w14:paraId="289FC3AD" w14:textId="77777777" w:rsidR="00092C9F" w:rsidRPr="00092C9F" w:rsidRDefault="00186CE3" w:rsidP="00092C9F">
      <w:pPr>
        <w:spacing w:line="276" w:lineRule="auto"/>
        <w:jc w:val="both"/>
        <w:rPr>
          <w:szCs w:val="21"/>
          <w:lang w:val="en-GB"/>
        </w:rPr>
      </w:pPr>
      <w:r w:rsidRPr="00092C9F">
        <w:rPr>
          <w:szCs w:val="21"/>
          <w:lang w:val="en-GB"/>
        </w:rPr>
        <w:t xml:space="preserve">Bernanke, B. S. and </w:t>
      </w:r>
      <w:proofErr w:type="spellStart"/>
      <w:r w:rsidRPr="00092C9F">
        <w:rPr>
          <w:szCs w:val="21"/>
          <w:lang w:val="en-GB"/>
        </w:rPr>
        <w:t>Gürkaynak</w:t>
      </w:r>
      <w:proofErr w:type="spellEnd"/>
      <w:r w:rsidRPr="00092C9F">
        <w:rPr>
          <w:szCs w:val="21"/>
          <w:lang w:val="en-GB"/>
        </w:rPr>
        <w:t>, R. S. (2014)</w:t>
      </w:r>
      <w:r w:rsidR="003B6D30" w:rsidRPr="00092C9F">
        <w:rPr>
          <w:szCs w:val="21"/>
          <w:lang w:val="en-GB"/>
        </w:rPr>
        <w:t>,</w:t>
      </w:r>
      <w:r w:rsidRPr="00092C9F">
        <w:rPr>
          <w:szCs w:val="21"/>
          <w:lang w:val="en-GB"/>
        </w:rPr>
        <w:t xml:space="preserve"> </w:t>
      </w:r>
      <w:r w:rsidRPr="00092C9F">
        <w:rPr>
          <w:b/>
          <w:szCs w:val="21"/>
          <w:lang w:val="en-GB"/>
        </w:rPr>
        <w:t>Is Growth Exogenous?</w:t>
      </w:r>
      <w:r w:rsidR="003B6D30" w:rsidRPr="00092C9F">
        <w:rPr>
          <w:szCs w:val="21"/>
          <w:lang w:val="en-GB"/>
        </w:rPr>
        <w:t>,</w:t>
      </w:r>
      <w:r w:rsidRPr="00092C9F">
        <w:rPr>
          <w:szCs w:val="21"/>
          <w:lang w:val="en-GB"/>
        </w:rPr>
        <w:t xml:space="preserve"> Cambridge: National </w:t>
      </w:r>
    </w:p>
    <w:p w14:paraId="63EB9BBA" w14:textId="1B445C90" w:rsidR="00186CE3" w:rsidRPr="00092C9F" w:rsidRDefault="00186CE3" w:rsidP="00092C9F">
      <w:pPr>
        <w:spacing w:line="276" w:lineRule="auto"/>
        <w:ind w:firstLine="720"/>
        <w:jc w:val="both"/>
        <w:rPr>
          <w:b/>
          <w:szCs w:val="21"/>
          <w:lang w:val="en-GB"/>
        </w:rPr>
      </w:pPr>
      <w:r w:rsidRPr="00092C9F">
        <w:rPr>
          <w:szCs w:val="21"/>
          <w:lang w:val="en-GB"/>
        </w:rPr>
        <w:t>Bureau of Economic Research</w:t>
      </w:r>
      <w:r w:rsidR="003B6D30" w:rsidRPr="00092C9F">
        <w:rPr>
          <w:szCs w:val="21"/>
          <w:lang w:val="en-GB"/>
        </w:rPr>
        <w:t>, NBER Working Paper No. 8365.</w:t>
      </w:r>
    </w:p>
    <w:p w14:paraId="35F9C88B" w14:textId="77777777" w:rsidR="009B624A" w:rsidRPr="00092C9F" w:rsidRDefault="00186CE3" w:rsidP="00D00498">
      <w:pPr>
        <w:spacing w:line="276" w:lineRule="auto"/>
        <w:jc w:val="both"/>
        <w:rPr>
          <w:b/>
          <w:lang w:val="en-GB"/>
        </w:rPr>
      </w:pPr>
      <w:r w:rsidRPr="00092C9F">
        <w:rPr>
          <w:lang w:val="en-GB"/>
        </w:rPr>
        <w:t>Bieler, A. and Morton, A. D. (2014)</w:t>
      </w:r>
      <w:r w:rsidR="009B624A" w:rsidRPr="00092C9F">
        <w:rPr>
          <w:lang w:val="en-GB"/>
        </w:rPr>
        <w:t>:</w:t>
      </w:r>
      <w:r w:rsidRPr="00092C9F">
        <w:rPr>
          <w:lang w:val="en-GB"/>
        </w:rPr>
        <w:t xml:space="preserve"> </w:t>
      </w:r>
      <w:r w:rsidRPr="00092C9F">
        <w:rPr>
          <w:b/>
          <w:lang w:val="en-GB"/>
        </w:rPr>
        <w:t xml:space="preserve">Uneven and Combined Development and Unequal </w:t>
      </w:r>
    </w:p>
    <w:p w14:paraId="60C229C0" w14:textId="42CCAE6B" w:rsidR="00186CE3" w:rsidRPr="00092C9F" w:rsidRDefault="00186CE3" w:rsidP="00D00498">
      <w:pPr>
        <w:spacing w:line="276" w:lineRule="auto"/>
        <w:ind w:firstLine="720"/>
        <w:jc w:val="both"/>
        <w:rPr>
          <w:i/>
          <w:lang w:val="en-GB"/>
        </w:rPr>
      </w:pPr>
      <w:r w:rsidRPr="00092C9F">
        <w:rPr>
          <w:b/>
          <w:lang w:val="en-GB"/>
        </w:rPr>
        <w:lastRenderedPageBreak/>
        <w:t>Exchange</w:t>
      </w:r>
      <w:r w:rsidR="009B624A" w:rsidRPr="00092C9F">
        <w:rPr>
          <w:lang w:val="en-GB"/>
        </w:rPr>
        <w:t>,</w:t>
      </w:r>
      <w:r w:rsidRPr="00092C9F">
        <w:rPr>
          <w:b/>
          <w:lang w:val="en-GB"/>
        </w:rPr>
        <w:t xml:space="preserve"> </w:t>
      </w:r>
      <w:r w:rsidRPr="00092C9F">
        <w:rPr>
          <w:b/>
          <w:i/>
          <w:lang w:val="en-GB"/>
        </w:rPr>
        <w:t>Globalizations</w:t>
      </w:r>
      <w:r w:rsidRPr="00092C9F">
        <w:rPr>
          <w:lang w:val="en-GB"/>
        </w:rPr>
        <w:t>, 11</w:t>
      </w:r>
      <w:r w:rsidR="009B624A" w:rsidRPr="00092C9F">
        <w:rPr>
          <w:lang w:val="en-GB"/>
        </w:rPr>
        <w:t xml:space="preserve">: </w:t>
      </w:r>
      <w:r w:rsidRPr="00092C9F">
        <w:rPr>
          <w:lang w:val="en-GB"/>
        </w:rPr>
        <w:t>35-45</w:t>
      </w:r>
      <w:r w:rsidRPr="00092C9F">
        <w:rPr>
          <w:rFonts w:eastAsiaTheme="minorHAnsi"/>
          <w:color w:val="000000" w:themeColor="text1"/>
        </w:rPr>
        <w:t>.</w:t>
      </w:r>
    </w:p>
    <w:p w14:paraId="13C89C45" w14:textId="688BD9C2" w:rsidR="00186CE3" w:rsidRPr="00092C9F" w:rsidRDefault="00186CE3" w:rsidP="00D00498">
      <w:pPr>
        <w:widowControl w:val="0"/>
        <w:spacing w:line="276" w:lineRule="auto"/>
        <w:jc w:val="both"/>
        <w:rPr>
          <w:lang w:val="en-GB"/>
        </w:rPr>
      </w:pPr>
      <w:r w:rsidRPr="00092C9F">
        <w:rPr>
          <w:lang w:val="en-GB"/>
        </w:rPr>
        <w:t>Bose, A. (1980)</w:t>
      </w:r>
      <w:r w:rsidR="00670630" w:rsidRPr="00092C9F">
        <w:rPr>
          <w:lang w:val="en-GB"/>
        </w:rPr>
        <w:t>:</w:t>
      </w:r>
      <w:r w:rsidRPr="00092C9F">
        <w:rPr>
          <w:lang w:val="en-GB"/>
        </w:rPr>
        <w:t xml:space="preserve"> </w:t>
      </w:r>
      <w:r w:rsidRPr="00092C9F">
        <w:rPr>
          <w:b/>
          <w:lang w:val="en-GB"/>
        </w:rPr>
        <w:t>Marx on Exploitation and Inequality</w:t>
      </w:r>
      <w:r w:rsidR="00670630" w:rsidRPr="00092C9F">
        <w:rPr>
          <w:lang w:val="en-GB"/>
        </w:rPr>
        <w:t>,</w:t>
      </w:r>
      <w:r w:rsidRPr="00092C9F">
        <w:rPr>
          <w:lang w:val="en-GB"/>
        </w:rPr>
        <w:t xml:space="preserve"> Delhi: Oxford University Press.</w:t>
      </w:r>
    </w:p>
    <w:p w14:paraId="10F3506F" w14:textId="77777777" w:rsidR="009B624A" w:rsidRPr="00092C9F" w:rsidRDefault="00186CE3" w:rsidP="00D00498">
      <w:pPr>
        <w:spacing w:line="276" w:lineRule="auto"/>
        <w:jc w:val="both"/>
        <w:rPr>
          <w:b/>
          <w:lang w:val="en-GB"/>
        </w:rPr>
      </w:pPr>
      <w:r w:rsidRPr="00092C9F">
        <w:rPr>
          <w:lang w:val="en-GB"/>
        </w:rPr>
        <w:t>Bosworth, B. P. and Collins, S. M. (2003)</w:t>
      </w:r>
      <w:r w:rsidR="009B624A" w:rsidRPr="00092C9F">
        <w:rPr>
          <w:lang w:val="en-GB"/>
        </w:rPr>
        <w:t>:</w:t>
      </w:r>
      <w:r w:rsidRPr="00092C9F">
        <w:rPr>
          <w:lang w:val="en-GB"/>
        </w:rPr>
        <w:t xml:space="preserve"> </w:t>
      </w:r>
      <w:r w:rsidRPr="00092C9F">
        <w:rPr>
          <w:b/>
          <w:lang w:val="en-GB"/>
        </w:rPr>
        <w:t>The Empirics of Growth: An Update</w:t>
      </w:r>
      <w:r w:rsidR="009B624A" w:rsidRPr="00092C9F">
        <w:rPr>
          <w:lang w:val="en-GB"/>
        </w:rPr>
        <w:t>,</w:t>
      </w:r>
      <w:r w:rsidRPr="00092C9F">
        <w:rPr>
          <w:b/>
          <w:lang w:val="en-GB"/>
        </w:rPr>
        <w:t xml:space="preserve"> </w:t>
      </w:r>
    </w:p>
    <w:p w14:paraId="121FBDAA" w14:textId="7935FFA8" w:rsidR="00186CE3" w:rsidRPr="00092C9F" w:rsidRDefault="00186CE3" w:rsidP="00D00498">
      <w:pPr>
        <w:spacing w:line="276" w:lineRule="auto"/>
        <w:ind w:firstLine="720"/>
        <w:jc w:val="both"/>
        <w:rPr>
          <w:i/>
          <w:lang w:val="en-GB"/>
        </w:rPr>
      </w:pPr>
      <w:r w:rsidRPr="00092C9F">
        <w:rPr>
          <w:b/>
          <w:i/>
          <w:lang w:val="en-GB"/>
        </w:rPr>
        <w:t>Brookings Papers on Economic Activity</w:t>
      </w:r>
      <w:r w:rsidRPr="00092C9F">
        <w:rPr>
          <w:lang w:val="en-GB"/>
        </w:rPr>
        <w:t>, 34</w:t>
      </w:r>
      <w:r w:rsidR="009B624A" w:rsidRPr="00092C9F">
        <w:rPr>
          <w:lang w:val="en-GB"/>
        </w:rPr>
        <w:t xml:space="preserve">: </w:t>
      </w:r>
      <w:r w:rsidRPr="00092C9F">
        <w:rPr>
          <w:lang w:val="en-GB"/>
        </w:rPr>
        <w:t>113-206.</w:t>
      </w:r>
    </w:p>
    <w:p w14:paraId="61C0C5B8" w14:textId="77777777" w:rsidR="009B624A" w:rsidRPr="00092C9F" w:rsidRDefault="00186CE3" w:rsidP="00D00498">
      <w:pPr>
        <w:widowControl w:val="0"/>
        <w:spacing w:line="276" w:lineRule="auto"/>
        <w:jc w:val="both"/>
        <w:rPr>
          <w:rStyle w:val="shorttext"/>
          <w:lang w:val="en-GB"/>
        </w:rPr>
      </w:pPr>
      <w:proofErr w:type="spellStart"/>
      <w:r w:rsidRPr="00092C9F">
        <w:rPr>
          <w:lang w:val="en-GB"/>
        </w:rPr>
        <w:t>Boundi</w:t>
      </w:r>
      <w:proofErr w:type="spellEnd"/>
      <w:r w:rsidRPr="00092C9F">
        <w:rPr>
          <w:lang w:val="en-GB"/>
        </w:rPr>
        <w:t xml:space="preserve"> </w:t>
      </w:r>
      <w:proofErr w:type="spellStart"/>
      <w:r w:rsidRPr="00092C9F">
        <w:rPr>
          <w:lang w:val="en-GB"/>
        </w:rPr>
        <w:t>Chraki</w:t>
      </w:r>
      <w:proofErr w:type="spellEnd"/>
      <w:r w:rsidRPr="00092C9F">
        <w:rPr>
          <w:rStyle w:val="shorttext"/>
          <w:lang w:val="en-GB"/>
        </w:rPr>
        <w:t>, F. (2018)</w:t>
      </w:r>
      <w:r w:rsidR="009B624A" w:rsidRPr="00092C9F">
        <w:rPr>
          <w:rStyle w:val="shorttext"/>
          <w:lang w:val="en-GB"/>
        </w:rPr>
        <w:t>:</w:t>
      </w:r>
      <w:r w:rsidRPr="00092C9F">
        <w:rPr>
          <w:rStyle w:val="shorttext"/>
          <w:lang w:val="en-GB"/>
        </w:rPr>
        <w:t xml:space="preserve"> </w:t>
      </w:r>
      <w:r w:rsidRPr="00092C9F">
        <w:rPr>
          <w:rStyle w:val="shorttext"/>
          <w:b/>
          <w:lang w:val="en-GB"/>
        </w:rPr>
        <w:t>Uneven Development and Intensified Labour in the Eurozone</w:t>
      </w:r>
      <w:r w:rsidR="009B624A" w:rsidRPr="00092C9F">
        <w:rPr>
          <w:rStyle w:val="shorttext"/>
          <w:lang w:val="en-GB"/>
        </w:rPr>
        <w:t xml:space="preserve">, </w:t>
      </w:r>
    </w:p>
    <w:p w14:paraId="66BBD7E1" w14:textId="727625DA" w:rsidR="00186CE3" w:rsidRPr="00092C9F" w:rsidRDefault="00186CE3" w:rsidP="00D00498">
      <w:pPr>
        <w:widowControl w:val="0"/>
        <w:spacing w:line="276" w:lineRule="auto"/>
        <w:ind w:firstLine="720"/>
        <w:jc w:val="both"/>
        <w:rPr>
          <w:rStyle w:val="shorttext"/>
          <w:lang w:val="en-GB"/>
        </w:rPr>
      </w:pPr>
      <w:proofErr w:type="spellStart"/>
      <w:r w:rsidRPr="00092C9F">
        <w:rPr>
          <w:rStyle w:val="shorttext"/>
          <w:b/>
          <w:i/>
          <w:lang w:val="en-GB"/>
        </w:rPr>
        <w:t>Problemas</w:t>
      </w:r>
      <w:proofErr w:type="spellEnd"/>
      <w:r w:rsidRPr="00092C9F">
        <w:rPr>
          <w:rStyle w:val="shorttext"/>
          <w:b/>
          <w:i/>
          <w:lang w:val="en-GB"/>
        </w:rPr>
        <w:t xml:space="preserve"> del </w:t>
      </w:r>
      <w:proofErr w:type="spellStart"/>
      <w:r w:rsidRPr="00092C9F">
        <w:rPr>
          <w:rStyle w:val="shorttext"/>
          <w:b/>
          <w:i/>
          <w:lang w:val="en-GB"/>
        </w:rPr>
        <w:t>Desarrollo</w:t>
      </w:r>
      <w:proofErr w:type="spellEnd"/>
      <w:r w:rsidRPr="00092C9F">
        <w:rPr>
          <w:rStyle w:val="shorttext"/>
          <w:lang w:val="en-GB"/>
        </w:rPr>
        <w:t>, 49.</w:t>
      </w:r>
    </w:p>
    <w:p w14:paraId="4E6DAACA" w14:textId="77777777" w:rsidR="00092C9F" w:rsidRPr="00092C9F" w:rsidRDefault="00186CE3" w:rsidP="00092C9F">
      <w:pPr>
        <w:autoSpaceDE w:val="0"/>
        <w:autoSpaceDN w:val="0"/>
        <w:adjustRightInd w:val="0"/>
        <w:spacing w:line="276" w:lineRule="auto"/>
        <w:jc w:val="both"/>
        <w:rPr>
          <w:rStyle w:val="Hyperlink"/>
          <w:color w:val="000000" w:themeColor="text1"/>
          <w:u w:val="none"/>
        </w:rPr>
      </w:pPr>
      <w:r w:rsidRPr="00092C9F">
        <w:rPr>
          <w:lang w:val="en-GB"/>
        </w:rPr>
        <w:t xml:space="preserve">Brolin, J. (2007) </w:t>
      </w:r>
      <w:r w:rsidRPr="00092C9F">
        <w:rPr>
          <w:b/>
          <w:lang w:val="en-GB"/>
        </w:rPr>
        <w:t xml:space="preserve">The Bias of the </w:t>
      </w:r>
      <w:r w:rsidRPr="00092C9F">
        <w:rPr>
          <w:lang w:val="en-GB"/>
        </w:rPr>
        <w:t>World</w:t>
      </w:r>
      <w:r w:rsidR="00092C9F" w:rsidRPr="00092C9F">
        <w:rPr>
          <w:lang w:val="en-GB"/>
        </w:rPr>
        <w:t xml:space="preserve">, </w:t>
      </w:r>
      <w:r w:rsidR="003B6D30" w:rsidRPr="00092C9F">
        <w:rPr>
          <w:bdr w:val="none" w:sz="0" w:space="0" w:color="auto" w:frame="1"/>
        </w:rPr>
        <w:t>http://lup.lub.lu.se/record/25251</w:t>
      </w:r>
      <w:r w:rsidR="003B6D30" w:rsidRPr="00092C9F">
        <w:t xml:space="preserve"> </w:t>
      </w:r>
      <w:r w:rsidR="003B6D30" w:rsidRPr="00092C9F">
        <w:rPr>
          <w:rStyle w:val="Hyperlink"/>
          <w:color w:val="000000" w:themeColor="text1"/>
          <w:u w:val="none"/>
        </w:rPr>
        <w:t xml:space="preserve">[Accessed </w:t>
      </w:r>
    </w:p>
    <w:p w14:paraId="4F55CA9F" w14:textId="5F9ABDBB" w:rsidR="00186CE3" w:rsidRPr="00092C9F" w:rsidRDefault="003B6D30" w:rsidP="00092C9F">
      <w:pPr>
        <w:autoSpaceDE w:val="0"/>
        <w:autoSpaceDN w:val="0"/>
        <w:adjustRightInd w:val="0"/>
        <w:spacing w:line="276" w:lineRule="auto"/>
        <w:ind w:firstLine="720"/>
        <w:jc w:val="both"/>
        <w:rPr>
          <w:color w:val="000000" w:themeColor="text1"/>
        </w:rPr>
      </w:pPr>
      <w:r w:rsidRPr="00092C9F">
        <w:rPr>
          <w:rStyle w:val="Hyperlink"/>
          <w:color w:val="000000" w:themeColor="text1"/>
          <w:u w:val="none"/>
        </w:rPr>
        <w:t>09.08.2018]</w:t>
      </w:r>
      <w:r w:rsidRPr="00092C9F">
        <w:rPr>
          <w:color w:val="000000" w:themeColor="text1"/>
        </w:rPr>
        <w:t>.</w:t>
      </w:r>
    </w:p>
    <w:p w14:paraId="048EF229" w14:textId="1A77C060" w:rsidR="00181932" w:rsidRPr="00092C9F" w:rsidRDefault="00186CE3" w:rsidP="00D00498">
      <w:pPr>
        <w:spacing w:line="276" w:lineRule="auto"/>
        <w:jc w:val="both"/>
        <w:rPr>
          <w:b/>
          <w:i/>
          <w:lang w:val="en-GB"/>
        </w:rPr>
      </w:pPr>
      <w:r w:rsidRPr="00092C9F">
        <w:rPr>
          <w:lang w:val="en-GB"/>
        </w:rPr>
        <w:t>Callinicos, A. (2010)</w:t>
      </w:r>
      <w:r w:rsidR="00181932" w:rsidRPr="00092C9F">
        <w:rPr>
          <w:lang w:val="en-GB"/>
        </w:rPr>
        <w:t>:</w:t>
      </w:r>
      <w:r w:rsidRPr="00092C9F">
        <w:rPr>
          <w:lang w:val="en-GB"/>
        </w:rPr>
        <w:t xml:space="preserve"> </w:t>
      </w:r>
      <w:r w:rsidRPr="00092C9F">
        <w:rPr>
          <w:b/>
          <w:lang w:val="en-GB"/>
        </w:rPr>
        <w:t>Does capitalism need the state system?</w:t>
      </w:r>
      <w:r w:rsidR="003B6D30" w:rsidRPr="00092C9F">
        <w:rPr>
          <w:b/>
          <w:lang w:val="en-GB"/>
        </w:rPr>
        <w:t>,</w:t>
      </w:r>
      <w:r w:rsidRPr="00092C9F">
        <w:rPr>
          <w:lang w:val="en-GB"/>
        </w:rPr>
        <w:t xml:space="preserve"> In </w:t>
      </w:r>
      <w:proofErr w:type="spellStart"/>
      <w:r w:rsidRPr="00092C9F">
        <w:rPr>
          <w:lang w:val="en-GB"/>
        </w:rPr>
        <w:t>Anievas</w:t>
      </w:r>
      <w:proofErr w:type="spellEnd"/>
      <w:r w:rsidRPr="00092C9F">
        <w:rPr>
          <w:lang w:val="en-GB"/>
        </w:rPr>
        <w:t>, A.</w:t>
      </w:r>
      <w:r w:rsidR="00181932" w:rsidRPr="00092C9F">
        <w:rPr>
          <w:lang w:val="en-GB"/>
        </w:rPr>
        <w:t>, e</w:t>
      </w:r>
      <w:r w:rsidRPr="00092C9F">
        <w:rPr>
          <w:lang w:val="en-GB"/>
        </w:rPr>
        <w:t>d.</w:t>
      </w:r>
      <w:r w:rsidR="00181932" w:rsidRPr="00092C9F">
        <w:rPr>
          <w:lang w:val="en-GB"/>
        </w:rPr>
        <w:t>:</w:t>
      </w:r>
      <w:r w:rsidRPr="00092C9F">
        <w:rPr>
          <w:i/>
          <w:lang w:val="en-GB"/>
        </w:rPr>
        <w:t xml:space="preserve"> </w:t>
      </w:r>
      <w:r w:rsidRPr="00092C9F">
        <w:rPr>
          <w:b/>
          <w:i/>
          <w:lang w:val="en-GB"/>
        </w:rPr>
        <w:t xml:space="preserve">Marxism </w:t>
      </w:r>
    </w:p>
    <w:p w14:paraId="294B2794" w14:textId="3926120B" w:rsidR="00186CE3" w:rsidRPr="00092C9F" w:rsidRDefault="00186CE3" w:rsidP="00D00498">
      <w:pPr>
        <w:spacing w:line="276" w:lineRule="auto"/>
        <w:ind w:firstLine="720"/>
        <w:jc w:val="both"/>
        <w:rPr>
          <w:lang w:val="en-GB"/>
        </w:rPr>
      </w:pPr>
      <w:r w:rsidRPr="00092C9F">
        <w:rPr>
          <w:b/>
          <w:i/>
          <w:lang w:val="en-GB"/>
        </w:rPr>
        <w:t>and world politics</w:t>
      </w:r>
      <w:r w:rsidR="00181932" w:rsidRPr="00092C9F">
        <w:rPr>
          <w:lang w:val="en-GB"/>
        </w:rPr>
        <w:t>,</w:t>
      </w:r>
      <w:r w:rsidRPr="00092C9F">
        <w:rPr>
          <w:lang w:val="en-GB"/>
        </w:rPr>
        <w:t xml:space="preserve"> London: Routledge.</w:t>
      </w:r>
    </w:p>
    <w:p w14:paraId="35D9C18B" w14:textId="77777777" w:rsidR="009B624A" w:rsidRPr="00092C9F" w:rsidRDefault="00186CE3" w:rsidP="00D00498">
      <w:pPr>
        <w:spacing w:line="276" w:lineRule="auto"/>
        <w:jc w:val="both"/>
        <w:rPr>
          <w:lang w:val="en-GB"/>
        </w:rPr>
      </w:pPr>
      <w:proofErr w:type="spellStart"/>
      <w:r w:rsidRPr="00092C9F">
        <w:rPr>
          <w:lang w:val="en-GB"/>
        </w:rPr>
        <w:t>Choen</w:t>
      </w:r>
      <w:proofErr w:type="spellEnd"/>
      <w:r w:rsidRPr="00092C9F">
        <w:rPr>
          <w:lang w:val="en-GB"/>
        </w:rPr>
        <w:t>, A. G. (1974)</w:t>
      </w:r>
      <w:r w:rsidR="009B624A" w:rsidRPr="00092C9F">
        <w:rPr>
          <w:lang w:val="en-GB"/>
        </w:rPr>
        <w:t>:</w:t>
      </w:r>
      <w:r w:rsidRPr="00092C9F">
        <w:rPr>
          <w:lang w:val="en-GB"/>
        </w:rPr>
        <w:t xml:space="preserve"> </w:t>
      </w:r>
      <w:r w:rsidRPr="00092C9F">
        <w:rPr>
          <w:b/>
          <w:lang w:val="en-GB"/>
        </w:rPr>
        <w:t>Marx’s Dialectic of Labour</w:t>
      </w:r>
      <w:r w:rsidR="009B624A" w:rsidRPr="00092C9F">
        <w:rPr>
          <w:lang w:val="en-GB"/>
        </w:rPr>
        <w:t>,</w:t>
      </w:r>
      <w:r w:rsidRPr="00092C9F">
        <w:rPr>
          <w:b/>
          <w:lang w:val="en-GB"/>
        </w:rPr>
        <w:t xml:space="preserve"> </w:t>
      </w:r>
      <w:r w:rsidRPr="00092C9F">
        <w:rPr>
          <w:b/>
          <w:i/>
          <w:lang w:val="en-GB"/>
        </w:rPr>
        <w:t>Philosophy and Public Affairs</w:t>
      </w:r>
      <w:r w:rsidRPr="00092C9F">
        <w:rPr>
          <w:lang w:val="en-GB"/>
        </w:rPr>
        <w:t>, 3</w:t>
      </w:r>
      <w:r w:rsidR="009B624A" w:rsidRPr="00092C9F">
        <w:rPr>
          <w:lang w:val="en-GB"/>
        </w:rPr>
        <w:t xml:space="preserve">: </w:t>
      </w:r>
      <w:r w:rsidRPr="00092C9F">
        <w:rPr>
          <w:lang w:val="en-GB"/>
        </w:rPr>
        <w:t>235-</w:t>
      </w:r>
    </w:p>
    <w:p w14:paraId="433A2F3C" w14:textId="2E4F5E19" w:rsidR="00186CE3" w:rsidRPr="00092C9F" w:rsidRDefault="00186CE3" w:rsidP="00D00498">
      <w:pPr>
        <w:spacing w:line="276" w:lineRule="auto"/>
        <w:ind w:firstLine="720"/>
        <w:jc w:val="both"/>
        <w:rPr>
          <w:lang w:val="en-GB"/>
        </w:rPr>
      </w:pPr>
      <w:r w:rsidRPr="00092C9F">
        <w:rPr>
          <w:lang w:val="en-GB"/>
        </w:rPr>
        <w:t>261.</w:t>
      </w:r>
    </w:p>
    <w:p w14:paraId="20C94820" w14:textId="77777777" w:rsidR="00181932" w:rsidRPr="00092C9F" w:rsidRDefault="00186CE3" w:rsidP="00D00498">
      <w:pPr>
        <w:widowControl w:val="0"/>
        <w:spacing w:line="276" w:lineRule="auto"/>
        <w:jc w:val="both"/>
        <w:rPr>
          <w:lang w:val="en-GB"/>
        </w:rPr>
      </w:pPr>
      <w:proofErr w:type="spellStart"/>
      <w:r w:rsidRPr="00092C9F">
        <w:rPr>
          <w:lang w:val="en-GB"/>
        </w:rPr>
        <w:t>Collignon</w:t>
      </w:r>
      <w:proofErr w:type="spellEnd"/>
      <w:r w:rsidRPr="00092C9F">
        <w:rPr>
          <w:lang w:val="en-GB"/>
        </w:rPr>
        <w:t>, S. (2016)</w:t>
      </w:r>
      <w:r w:rsidR="00181932" w:rsidRPr="00092C9F">
        <w:rPr>
          <w:lang w:val="en-GB"/>
        </w:rPr>
        <w:t>:</w:t>
      </w:r>
      <w:r w:rsidRPr="00092C9F">
        <w:rPr>
          <w:lang w:val="en-GB"/>
        </w:rPr>
        <w:t xml:space="preserve"> </w:t>
      </w:r>
      <w:r w:rsidRPr="00092C9F">
        <w:rPr>
          <w:b/>
          <w:lang w:val="en-GB"/>
        </w:rPr>
        <w:t>Wage Imbalances in the European Labour Market</w:t>
      </w:r>
      <w:r w:rsidRPr="00092C9F">
        <w:rPr>
          <w:lang w:val="en-GB"/>
        </w:rPr>
        <w:t xml:space="preserve">. In Simona </w:t>
      </w:r>
    </w:p>
    <w:p w14:paraId="2A32DBCD" w14:textId="1650473A" w:rsidR="00186CE3" w:rsidRPr="00092C9F" w:rsidRDefault="00186CE3" w:rsidP="00D00498">
      <w:pPr>
        <w:widowControl w:val="0"/>
        <w:spacing w:line="276" w:lineRule="auto"/>
        <w:ind w:firstLine="720"/>
        <w:jc w:val="both"/>
        <w:rPr>
          <w:lang w:val="en-GB"/>
        </w:rPr>
      </w:pPr>
      <w:proofErr w:type="spellStart"/>
      <w:r w:rsidRPr="00092C9F">
        <w:rPr>
          <w:lang w:val="en-GB"/>
        </w:rPr>
        <w:t>Talani</w:t>
      </w:r>
      <w:proofErr w:type="spellEnd"/>
      <w:r w:rsidRPr="00092C9F">
        <w:rPr>
          <w:lang w:val="en-GB"/>
        </w:rPr>
        <w:t>, L.</w:t>
      </w:r>
      <w:r w:rsidR="00181932" w:rsidRPr="00092C9F">
        <w:rPr>
          <w:lang w:val="en-GB"/>
        </w:rPr>
        <w:t>, e</w:t>
      </w:r>
      <w:r w:rsidRPr="00092C9F">
        <w:rPr>
          <w:lang w:val="en-GB"/>
        </w:rPr>
        <w:t>d</w:t>
      </w:r>
      <w:r w:rsidR="00181932" w:rsidRPr="00092C9F">
        <w:rPr>
          <w:lang w:val="en-GB"/>
        </w:rPr>
        <w:t>.:</w:t>
      </w:r>
      <w:r w:rsidRPr="00092C9F">
        <w:rPr>
          <w:lang w:val="en-GB"/>
        </w:rPr>
        <w:t xml:space="preserve"> </w:t>
      </w:r>
      <w:r w:rsidRPr="00092C9F">
        <w:rPr>
          <w:b/>
          <w:i/>
          <w:lang w:val="en-GB"/>
        </w:rPr>
        <w:t>Europe in Crisis A Structural Analysis</w:t>
      </w:r>
      <w:r w:rsidR="00181932" w:rsidRPr="00092C9F">
        <w:rPr>
          <w:lang w:val="en-GB"/>
        </w:rPr>
        <w:t>,</w:t>
      </w:r>
      <w:r w:rsidRPr="00092C9F">
        <w:rPr>
          <w:lang w:val="en-GB"/>
        </w:rPr>
        <w:t xml:space="preserve"> London: Palgrave Macmillan.</w:t>
      </w:r>
    </w:p>
    <w:p w14:paraId="41374AB9" w14:textId="77777777" w:rsidR="009B624A" w:rsidRPr="00092C9F" w:rsidRDefault="00186CE3" w:rsidP="00D00498">
      <w:pPr>
        <w:spacing w:line="276" w:lineRule="auto"/>
        <w:jc w:val="both"/>
        <w:rPr>
          <w:b/>
          <w:i/>
          <w:lang w:val="en-GB"/>
        </w:rPr>
      </w:pPr>
      <w:proofErr w:type="spellStart"/>
      <w:r w:rsidRPr="00092C9F">
        <w:rPr>
          <w:lang w:val="en-GB"/>
        </w:rPr>
        <w:t>Dullien</w:t>
      </w:r>
      <w:proofErr w:type="spellEnd"/>
      <w:r w:rsidRPr="00092C9F">
        <w:rPr>
          <w:lang w:val="en-GB"/>
        </w:rPr>
        <w:t xml:space="preserve">, S. and </w:t>
      </w:r>
      <w:proofErr w:type="spellStart"/>
      <w:r w:rsidRPr="00092C9F">
        <w:rPr>
          <w:lang w:val="en-GB"/>
        </w:rPr>
        <w:t>Frische</w:t>
      </w:r>
      <w:proofErr w:type="spellEnd"/>
      <w:r w:rsidRPr="00092C9F">
        <w:rPr>
          <w:lang w:val="en-GB"/>
        </w:rPr>
        <w:t>, U. (2009)</w:t>
      </w:r>
      <w:r w:rsidR="009B624A" w:rsidRPr="00092C9F">
        <w:rPr>
          <w:lang w:val="en-GB"/>
        </w:rPr>
        <w:t>:</w:t>
      </w:r>
      <w:r w:rsidRPr="00092C9F">
        <w:rPr>
          <w:lang w:val="en-GB"/>
        </w:rPr>
        <w:t xml:space="preserve"> </w:t>
      </w:r>
      <w:r w:rsidRPr="00092C9F">
        <w:rPr>
          <w:b/>
          <w:lang w:val="en-GB"/>
        </w:rPr>
        <w:t>How Bad is Divergence in the Euro Zone?</w:t>
      </w:r>
      <w:r w:rsidR="009B624A" w:rsidRPr="00092C9F">
        <w:rPr>
          <w:lang w:val="en-GB"/>
        </w:rPr>
        <w:t>,</w:t>
      </w:r>
      <w:r w:rsidRPr="00092C9F">
        <w:rPr>
          <w:b/>
          <w:i/>
          <w:lang w:val="en-GB"/>
        </w:rPr>
        <w:t xml:space="preserve"> Journal of </w:t>
      </w:r>
    </w:p>
    <w:p w14:paraId="7C271A7D" w14:textId="14594EF8" w:rsidR="00186CE3" w:rsidRPr="00092C9F" w:rsidRDefault="00186CE3" w:rsidP="00D00498">
      <w:pPr>
        <w:spacing w:line="276" w:lineRule="auto"/>
        <w:ind w:firstLine="720"/>
        <w:jc w:val="both"/>
        <w:rPr>
          <w:lang w:val="en-GB"/>
        </w:rPr>
      </w:pPr>
      <w:r w:rsidRPr="00092C9F">
        <w:rPr>
          <w:b/>
          <w:i/>
          <w:lang w:val="en-GB"/>
        </w:rPr>
        <w:t>Post Keynesian Economics</w:t>
      </w:r>
      <w:r w:rsidRPr="00092C9F">
        <w:rPr>
          <w:lang w:val="en-GB"/>
        </w:rPr>
        <w:t>, 31</w:t>
      </w:r>
      <w:r w:rsidR="009B624A" w:rsidRPr="00092C9F">
        <w:rPr>
          <w:lang w:val="en-GB"/>
        </w:rPr>
        <w:t xml:space="preserve">: </w:t>
      </w:r>
      <w:r w:rsidRPr="00092C9F">
        <w:rPr>
          <w:lang w:val="en-GB"/>
        </w:rPr>
        <w:t>431-457.</w:t>
      </w:r>
    </w:p>
    <w:p w14:paraId="7AF45C20" w14:textId="77777777" w:rsidR="009B624A" w:rsidRPr="00092C9F" w:rsidRDefault="00186CE3" w:rsidP="00D00498">
      <w:pPr>
        <w:widowControl w:val="0"/>
        <w:spacing w:line="276" w:lineRule="auto"/>
        <w:jc w:val="both"/>
        <w:rPr>
          <w:rStyle w:val="shorttext"/>
          <w:b/>
          <w:lang w:val="en-GB"/>
        </w:rPr>
      </w:pPr>
      <w:proofErr w:type="spellStart"/>
      <w:r w:rsidRPr="00092C9F">
        <w:rPr>
          <w:rStyle w:val="shorttext"/>
          <w:lang w:val="en-GB"/>
        </w:rPr>
        <w:t>Elmsie</w:t>
      </w:r>
      <w:proofErr w:type="spellEnd"/>
      <w:r w:rsidRPr="00092C9F">
        <w:rPr>
          <w:rStyle w:val="shorttext"/>
          <w:lang w:val="en-GB"/>
        </w:rPr>
        <w:t>, B. and Milberg, W. (1992)</w:t>
      </w:r>
      <w:r w:rsidR="009B624A" w:rsidRPr="00092C9F">
        <w:rPr>
          <w:rStyle w:val="shorttext"/>
          <w:lang w:val="en-GB"/>
        </w:rPr>
        <w:t>:</w:t>
      </w:r>
      <w:r w:rsidRPr="00092C9F">
        <w:rPr>
          <w:rStyle w:val="shorttext"/>
          <w:lang w:val="en-GB"/>
        </w:rPr>
        <w:t xml:space="preserve"> </w:t>
      </w:r>
      <w:r w:rsidRPr="00092C9F">
        <w:rPr>
          <w:rStyle w:val="shorttext"/>
          <w:b/>
          <w:lang w:val="en-GB"/>
        </w:rPr>
        <w:t xml:space="preserve">International trade and factor intensity uniformity: an </w:t>
      </w:r>
    </w:p>
    <w:p w14:paraId="03303782" w14:textId="7513280C" w:rsidR="00186CE3" w:rsidRPr="00092C9F" w:rsidRDefault="00186CE3" w:rsidP="00D00498">
      <w:pPr>
        <w:widowControl w:val="0"/>
        <w:spacing w:line="276" w:lineRule="auto"/>
        <w:ind w:firstLine="720"/>
        <w:jc w:val="both"/>
        <w:rPr>
          <w:lang w:val="en-GB"/>
        </w:rPr>
      </w:pPr>
      <w:r w:rsidRPr="00092C9F">
        <w:rPr>
          <w:rStyle w:val="shorttext"/>
          <w:b/>
          <w:lang w:val="en-GB"/>
        </w:rPr>
        <w:t>empirical assessment</w:t>
      </w:r>
      <w:r w:rsidR="009B624A" w:rsidRPr="00092C9F">
        <w:rPr>
          <w:rStyle w:val="shorttext"/>
          <w:lang w:val="en-GB"/>
        </w:rPr>
        <w:t>,</w:t>
      </w:r>
      <w:r w:rsidRPr="00092C9F">
        <w:rPr>
          <w:rStyle w:val="shorttext"/>
          <w:b/>
          <w:lang w:val="en-GB"/>
        </w:rPr>
        <w:t xml:space="preserve"> </w:t>
      </w:r>
      <w:proofErr w:type="spellStart"/>
      <w:r w:rsidRPr="00092C9F">
        <w:rPr>
          <w:rStyle w:val="shorttext"/>
          <w:b/>
          <w:i/>
          <w:lang w:val="en-GB"/>
        </w:rPr>
        <w:t>Welatnrtschqftliches</w:t>
      </w:r>
      <w:proofErr w:type="spellEnd"/>
      <w:r w:rsidRPr="00092C9F">
        <w:rPr>
          <w:rStyle w:val="shorttext"/>
          <w:b/>
          <w:i/>
          <w:lang w:val="en-GB"/>
        </w:rPr>
        <w:t xml:space="preserve"> </w:t>
      </w:r>
      <w:proofErr w:type="spellStart"/>
      <w:r w:rsidRPr="00092C9F">
        <w:rPr>
          <w:rStyle w:val="shorttext"/>
          <w:b/>
          <w:i/>
          <w:lang w:val="en-GB"/>
        </w:rPr>
        <w:t>Archiv</w:t>
      </w:r>
      <w:proofErr w:type="spellEnd"/>
      <w:r w:rsidRPr="00092C9F">
        <w:rPr>
          <w:rStyle w:val="shorttext"/>
          <w:lang w:val="en-GB"/>
        </w:rPr>
        <w:t>, 128</w:t>
      </w:r>
      <w:r w:rsidR="009B624A" w:rsidRPr="00092C9F">
        <w:rPr>
          <w:rStyle w:val="shorttext"/>
          <w:lang w:val="en-GB"/>
        </w:rPr>
        <w:t xml:space="preserve">: </w:t>
      </w:r>
      <w:r w:rsidRPr="00092C9F">
        <w:rPr>
          <w:rStyle w:val="shorttext"/>
          <w:lang w:val="en-GB"/>
        </w:rPr>
        <w:t>464-486.</w:t>
      </w:r>
    </w:p>
    <w:p w14:paraId="36F47836" w14:textId="77777777" w:rsidR="00670630" w:rsidRPr="00092C9F" w:rsidRDefault="00186CE3" w:rsidP="00D00498">
      <w:pPr>
        <w:spacing w:line="276" w:lineRule="auto"/>
        <w:jc w:val="both"/>
        <w:rPr>
          <w:lang w:val="en-GB"/>
        </w:rPr>
      </w:pPr>
      <w:r w:rsidRPr="00092C9F">
        <w:rPr>
          <w:lang w:val="en-GB"/>
        </w:rPr>
        <w:t>Emmanuel, A. (1972)</w:t>
      </w:r>
      <w:r w:rsidR="00670630" w:rsidRPr="00092C9F">
        <w:rPr>
          <w:lang w:val="en-GB"/>
        </w:rPr>
        <w:t>:</w:t>
      </w:r>
      <w:r w:rsidRPr="00092C9F">
        <w:rPr>
          <w:lang w:val="en-GB"/>
        </w:rPr>
        <w:t xml:space="preserve"> </w:t>
      </w:r>
      <w:r w:rsidRPr="00092C9F">
        <w:rPr>
          <w:b/>
          <w:lang w:val="en-GB"/>
        </w:rPr>
        <w:t>Unequal Exchange: A Study of the Imperialism of Trade</w:t>
      </w:r>
      <w:r w:rsidR="00670630" w:rsidRPr="00092C9F">
        <w:rPr>
          <w:lang w:val="en-GB"/>
        </w:rPr>
        <w:t>,</w:t>
      </w:r>
      <w:r w:rsidRPr="00092C9F">
        <w:rPr>
          <w:lang w:val="en-GB"/>
        </w:rPr>
        <w:t xml:space="preserve"> New </w:t>
      </w:r>
    </w:p>
    <w:p w14:paraId="6BCE20B5" w14:textId="215E3A6F" w:rsidR="00186CE3" w:rsidRPr="00092C9F" w:rsidRDefault="00186CE3" w:rsidP="00D00498">
      <w:pPr>
        <w:spacing w:line="276" w:lineRule="auto"/>
        <w:ind w:firstLine="720"/>
        <w:jc w:val="both"/>
        <w:rPr>
          <w:lang w:val="en-GB"/>
        </w:rPr>
      </w:pPr>
      <w:r w:rsidRPr="00092C9F">
        <w:rPr>
          <w:lang w:val="en-GB"/>
        </w:rPr>
        <w:t>York: Monthly Review Press.</w:t>
      </w:r>
    </w:p>
    <w:p w14:paraId="358BFBE3" w14:textId="77777777" w:rsidR="00670630" w:rsidRPr="00092C9F" w:rsidRDefault="00186CE3" w:rsidP="00D00498">
      <w:pPr>
        <w:spacing w:line="276" w:lineRule="auto"/>
        <w:jc w:val="both"/>
        <w:rPr>
          <w:lang w:val="en-GB"/>
        </w:rPr>
      </w:pPr>
      <w:r w:rsidRPr="00092C9F">
        <w:rPr>
          <w:lang w:val="en-GB"/>
        </w:rPr>
        <w:t>Emmanuel, A. (1975)</w:t>
      </w:r>
      <w:r w:rsidR="00670630" w:rsidRPr="00092C9F">
        <w:rPr>
          <w:lang w:val="en-GB"/>
        </w:rPr>
        <w:t>:</w:t>
      </w:r>
      <w:r w:rsidRPr="00092C9F">
        <w:rPr>
          <w:lang w:val="en-GB"/>
        </w:rPr>
        <w:t xml:space="preserve"> </w:t>
      </w:r>
      <w:r w:rsidRPr="00092C9F">
        <w:rPr>
          <w:b/>
          <w:lang w:val="en-GB"/>
        </w:rPr>
        <w:t>Unequal Exchange Revisited (IDS Discussion Paper No. 77)</w:t>
      </w:r>
      <w:r w:rsidR="00670630" w:rsidRPr="00092C9F">
        <w:rPr>
          <w:lang w:val="en-GB"/>
        </w:rPr>
        <w:t>,</w:t>
      </w:r>
      <w:r w:rsidRPr="00092C9F">
        <w:rPr>
          <w:lang w:val="en-GB"/>
        </w:rPr>
        <w:t xml:space="preserve"> </w:t>
      </w:r>
    </w:p>
    <w:p w14:paraId="5DC9BF95" w14:textId="5BB478D2" w:rsidR="00186CE3" w:rsidRPr="00092C9F" w:rsidRDefault="00186CE3" w:rsidP="00D00498">
      <w:pPr>
        <w:spacing w:line="276" w:lineRule="auto"/>
        <w:ind w:firstLine="720"/>
        <w:jc w:val="both"/>
        <w:rPr>
          <w:lang w:val="en-GB"/>
        </w:rPr>
      </w:pPr>
      <w:r w:rsidRPr="00092C9F">
        <w:rPr>
          <w:lang w:val="en-GB"/>
        </w:rPr>
        <w:t>Brighton: University of Sussex.</w:t>
      </w:r>
    </w:p>
    <w:p w14:paraId="6F1D9CF0" w14:textId="77777777" w:rsidR="009C659D" w:rsidRPr="00092C9F" w:rsidRDefault="00186CE3" w:rsidP="00D00498">
      <w:pPr>
        <w:spacing w:line="276" w:lineRule="auto"/>
        <w:jc w:val="both"/>
        <w:rPr>
          <w:b/>
          <w:lang w:val="en-GB"/>
        </w:rPr>
      </w:pPr>
      <w:r w:rsidRPr="00092C9F">
        <w:rPr>
          <w:lang w:val="en-GB"/>
        </w:rPr>
        <w:t>European Commission (2012)</w:t>
      </w:r>
      <w:r w:rsidR="009C659D" w:rsidRPr="00092C9F">
        <w:rPr>
          <w:lang w:val="en-GB"/>
        </w:rPr>
        <w:t>:</w:t>
      </w:r>
      <w:r w:rsidRPr="00092C9F">
        <w:rPr>
          <w:lang w:val="en-GB"/>
        </w:rPr>
        <w:t xml:space="preserve"> </w:t>
      </w:r>
      <w:r w:rsidRPr="00092C9F">
        <w:rPr>
          <w:b/>
          <w:i/>
          <w:lang w:val="en-GB"/>
        </w:rPr>
        <w:t>Single Market Act II</w:t>
      </w:r>
      <w:r w:rsidRPr="00092C9F">
        <w:rPr>
          <w:b/>
          <w:lang w:val="en-GB"/>
        </w:rPr>
        <w:t xml:space="preserve">. Communication from the </w:t>
      </w:r>
    </w:p>
    <w:p w14:paraId="3D7F9625" w14:textId="77777777" w:rsidR="009C659D" w:rsidRPr="00092C9F" w:rsidRDefault="00186CE3" w:rsidP="00D00498">
      <w:pPr>
        <w:spacing w:line="276" w:lineRule="auto"/>
        <w:ind w:firstLine="720"/>
        <w:jc w:val="both"/>
        <w:rPr>
          <w:lang w:val="en-GB"/>
        </w:rPr>
      </w:pPr>
      <w:r w:rsidRPr="00092C9F">
        <w:rPr>
          <w:b/>
          <w:lang w:val="en-GB"/>
        </w:rPr>
        <w:t>Commission to the European Parliament</w:t>
      </w:r>
      <w:r w:rsidRPr="00092C9F">
        <w:rPr>
          <w:lang w:val="en-GB"/>
        </w:rPr>
        <w:t xml:space="preserve">, the Council, the Economic and Social </w:t>
      </w:r>
    </w:p>
    <w:p w14:paraId="1FC7A367" w14:textId="5E1A997F" w:rsidR="00186CE3" w:rsidRPr="00092C9F" w:rsidRDefault="00186CE3" w:rsidP="00D00498">
      <w:pPr>
        <w:spacing w:line="276" w:lineRule="auto"/>
        <w:ind w:left="720" w:firstLine="720"/>
        <w:jc w:val="both"/>
        <w:rPr>
          <w:lang w:val="en-GB"/>
        </w:rPr>
      </w:pPr>
      <w:r w:rsidRPr="00092C9F">
        <w:rPr>
          <w:lang w:val="en-GB"/>
        </w:rPr>
        <w:t>Committee and the Committee of the Regions, COM (2012) 573.</w:t>
      </w:r>
    </w:p>
    <w:p w14:paraId="76FAE6B9" w14:textId="77777777" w:rsidR="003B6D30" w:rsidRPr="00092C9F" w:rsidRDefault="00186CE3" w:rsidP="00D00498">
      <w:pPr>
        <w:autoSpaceDE w:val="0"/>
        <w:autoSpaceDN w:val="0"/>
        <w:adjustRightInd w:val="0"/>
        <w:spacing w:line="276" w:lineRule="auto"/>
        <w:jc w:val="both"/>
        <w:rPr>
          <w:color w:val="000000" w:themeColor="text1"/>
          <w:lang w:val="en-GB"/>
        </w:rPr>
      </w:pPr>
      <w:r w:rsidRPr="00092C9F">
        <w:rPr>
          <w:color w:val="000000" w:themeColor="text1"/>
          <w:lang w:val="en-GB"/>
        </w:rPr>
        <w:t xml:space="preserve">Eurostat. (2019a) </w:t>
      </w:r>
      <w:r w:rsidRPr="00092C9F">
        <w:rPr>
          <w:b/>
          <w:color w:val="000000" w:themeColor="text1"/>
          <w:lang w:val="en-GB"/>
        </w:rPr>
        <w:t>Employment and unemployment</w:t>
      </w:r>
      <w:r w:rsidR="003B6D30" w:rsidRPr="00092C9F">
        <w:rPr>
          <w:b/>
          <w:color w:val="000000" w:themeColor="text1"/>
          <w:lang w:val="en-GB"/>
        </w:rPr>
        <w:t>,</w:t>
      </w:r>
      <w:r w:rsidRPr="00092C9F">
        <w:rPr>
          <w:color w:val="000000" w:themeColor="text1"/>
          <w:lang w:val="en-GB"/>
        </w:rPr>
        <w:t xml:space="preserve"> </w:t>
      </w:r>
    </w:p>
    <w:p w14:paraId="183E38B3" w14:textId="5EDE3121" w:rsidR="00186CE3" w:rsidRPr="00092C9F" w:rsidRDefault="003B6D30" w:rsidP="00D00498">
      <w:pPr>
        <w:autoSpaceDE w:val="0"/>
        <w:autoSpaceDN w:val="0"/>
        <w:adjustRightInd w:val="0"/>
        <w:spacing w:line="276" w:lineRule="auto"/>
        <w:ind w:firstLine="720"/>
        <w:jc w:val="both"/>
        <w:rPr>
          <w:color w:val="000000" w:themeColor="text1"/>
        </w:rPr>
      </w:pPr>
      <w:r w:rsidRPr="00092C9F">
        <w:rPr>
          <w:color w:val="000000" w:themeColor="text1"/>
          <w:lang w:val="en-GB"/>
        </w:rPr>
        <w:t xml:space="preserve">https://ec.europa.eu/eurostat/web/lfs/data </w:t>
      </w:r>
      <w:r w:rsidRPr="00092C9F">
        <w:rPr>
          <w:rStyle w:val="Hyperlink"/>
          <w:color w:val="000000" w:themeColor="text1"/>
          <w:u w:val="none"/>
        </w:rPr>
        <w:t>[Accessed 02.11.2018]</w:t>
      </w:r>
      <w:r w:rsidRPr="00092C9F">
        <w:rPr>
          <w:color w:val="000000" w:themeColor="text1"/>
        </w:rPr>
        <w:t>.</w:t>
      </w:r>
    </w:p>
    <w:p w14:paraId="43306FA7" w14:textId="1BC55413" w:rsidR="003B6D30" w:rsidRPr="00092C9F" w:rsidRDefault="00186CE3" w:rsidP="00D00498">
      <w:pPr>
        <w:autoSpaceDE w:val="0"/>
        <w:autoSpaceDN w:val="0"/>
        <w:adjustRightInd w:val="0"/>
        <w:spacing w:line="276" w:lineRule="auto"/>
        <w:jc w:val="both"/>
        <w:rPr>
          <w:color w:val="000000" w:themeColor="text1"/>
          <w:lang w:val="en-GB"/>
        </w:rPr>
      </w:pPr>
      <w:r w:rsidRPr="00092C9F">
        <w:rPr>
          <w:color w:val="000000" w:themeColor="text1"/>
          <w:lang w:val="en-GB"/>
        </w:rPr>
        <w:t xml:space="preserve">Eurostat. (2019b) </w:t>
      </w:r>
      <w:r w:rsidRPr="00092C9F">
        <w:rPr>
          <w:b/>
          <w:color w:val="000000" w:themeColor="text1"/>
          <w:lang w:val="en-GB"/>
        </w:rPr>
        <w:t>National accounts</w:t>
      </w:r>
      <w:r w:rsidR="003B6D30" w:rsidRPr="00092C9F">
        <w:rPr>
          <w:color w:val="000000" w:themeColor="text1"/>
          <w:lang w:val="en-GB"/>
        </w:rPr>
        <w:t>,</w:t>
      </w:r>
      <w:r w:rsidRPr="00092C9F">
        <w:rPr>
          <w:color w:val="000000" w:themeColor="text1"/>
          <w:lang w:val="en-GB"/>
        </w:rPr>
        <w:t xml:space="preserve"> </w:t>
      </w:r>
      <w:r w:rsidR="003B6D30" w:rsidRPr="00092C9F">
        <w:rPr>
          <w:color w:val="000000" w:themeColor="text1"/>
          <w:lang w:val="en-GB"/>
        </w:rPr>
        <w:t>https://ec.europa.eu/eurostat/web/national-</w:t>
      </w:r>
    </w:p>
    <w:p w14:paraId="2611E254" w14:textId="0AB14472" w:rsidR="00186CE3" w:rsidRPr="00092C9F" w:rsidRDefault="003B6D30" w:rsidP="00D00498">
      <w:pPr>
        <w:autoSpaceDE w:val="0"/>
        <w:autoSpaceDN w:val="0"/>
        <w:adjustRightInd w:val="0"/>
        <w:spacing w:line="276" w:lineRule="auto"/>
        <w:ind w:firstLine="720"/>
        <w:jc w:val="both"/>
        <w:rPr>
          <w:color w:val="000000" w:themeColor="text1"/>
        </w:rPr>
      </w:pPr>
      <w:r w:rsidRPr="00092C9F">
        <w:rPr>
          <w:color w:val="000000" w:themeColor="text1"/>
          <w:lang w:val="en-GB"/>
        </w:rPr>
        <w:t xml:space="preserve">accounts/overview </w:t>
      </w:r>
      <w:r w:rsidRPr="00092C9F">
        <w:rPr>
          <w:rStyle w:val="Hyperlink"/>
          <w:color w:val="000000" w:themeColor="text1"/>
          <w:u w:val="none"/>
        </w:rPr>
        <w:t>[Accessed 14.10.2018]</w:t>
      </w:r>
      <w:r w:rsidRPr="00092C9F">
        <w:rPr>
          <w:color w:val="000000" w:themeColor="text1"/>
        </w:rPr>
        <w:t>.</w:t>
      </w:r>
    </w:p>
    <w:p w14:paraId="172465F1" w14:textId="5183C5DF" w:rsidR="00186CE3" w:rsidRPr="00092C9F" w:rsidRDefault="00186CE3" w:rsidP="00D00498">
      <w:pPr>
        <w:spacing w:line="276" w:lineRule="auto"/>
        <w:jc w:val="both"/>
        <w:rPr>
          <w:lang w:val="en-GB"/>
        </w:rPr>
      </w:pPr>
      <w:r w:rsidRPr="00092C9F">
        <w:rPr>
          <w:lang w:val="en-GB"/>
        </w:rPr>
        <w:t>Fields, G. S. (2004)</w:t>
      </w:r>
      <w:r w:rsidR="00987591" w:rsidRPr="00092C9F">
        <w:rPr>
          <w:lang w:val="en-GB"/>
        </w:rPr>
        <w:t>:</w:t>
      </w:r>
      <w:r w:rsidRPr="00092C9F">
        <w:rPr>
          <w:lang w:val="en-GB"/>
        </w:rPr>
        <w:t xml:space="preserve"> </w:t>
      </w:r>
      <w:r w:rsidRPr="00092C9F">
        <w:rPr>
          <w:b/>
          <w:lang w:val="en-GB"/>
        </w:rPr>
        <w:t>Dualism in the Labour Market</w:t>
      </w:r>
      <w:r w:rsidR="00987591" w:rsidRPr="00092C9F">
        <w:rPr>
          <w:lang w:val="en-GB"/>
        </w:rPr>
        <w:t>,</w:t>
      </w:r>
      <w:r w:rsidRPr="00092C9F">
        <w:rPr>
          <w:b/>
          <w:lang w:val="en-GB"/>
        </w:rPr>
        <w:t xml:space="preserve"> </w:t>
      </w:r>
      <w:r w:rsidRPr="00092C9F">
        <w:rPr>
          <w:b/>
          <w:i/>
          <w:lang w:val="en-GB"/>
        </w:rPr>
        <w:t>The Manchester School</w:t>
      </w:r>
      <w:r w:rsidRPr="00092C9F">
        <w:rPr>
          <w:lang w:val="en-GB"/>
        </w:rPr>
        <w:t>, 72</w:t>
      </w:r>
      <w:r w:rsidR="00987591" w:rsidRPr="00092C9F">
        <w:rPr>
          <w:lang w:val="en-GB"/>
        </w:rPr>
        <w:t>:</w:t>
      </w:r>
      <w:r w:rsidRPr="00092C9F">
        <w:rPr>
          <w:lang w:val="en-GB"/>
        </w:rPr>
        <w:t xml:space="preserve"> 724-735.</w:t>
      </w:r>
    </w:p>
    <w:p w14:paraId="6A679595" w14:textId="50BDA69B" w:rsidR="00186CE3" w:rsidRPr="00092C9F" w:rsidRDefault="00186CE3" w:rsidP="00D00498">
      <w:pPr>
        <w:widowControl w:val="0"/>
        <w:spacing w:line="276" w:lineRule="auto"/>
        <w:jc w:val="both"/>
        <w:rPr>
          <w:lang w:val="en-GB"/>
        </w:rPr>
      </w:pPr>
      <w:r w:rsidRPr="00092C9F">
        <w:rPr>
          <w:lang w:val="en-GB"/>
        </w:rPr>
        <w:t>Fine, B. and A. Saad-Filho (2010)</w:t>
      </w:r>
      <w:r w:rsidR="00670630" w:rsidRPr="00092C9F">
        <w:rPr>
          <w:lang w:val="en-GB"/>
        </w:rPr>
        <w:t>:</w:t>
      </w:r>
      <w:r w:rsidRPr="00092C9F">
        <w:rPr>
          <w:lang w:val="en-GB"/>
        </w:rPr>
        <w:t xml:space="preserve"> </w:t>
      </w:r>
      <w:r w:rsidRPr="00092C9F">
        <w:rPr>
          <w:b/>
          <w:lang w:val="en-GB"/>
        </w:rPr>
        <w:t>Marx’s Capital</w:t>
      </w:r>
      <w:r w:rsidRPr="00092C9F">
        <w:rPr>
          <w:lang w:val="en-GB"/>
        </w:rPr>
        <w:t>, London: Pluto.</w:t>
      </w:r>
    </w:p>
    <w:p w14:paraId="7DF2D65A" w14:textId="77777777" w:rsidR="009C659D" w:rsidRPr="00092C9F" w:rsidRDefault="00186CE3" w:rsidP="00D00498">
      <w:pPr>
        <w:widowControl w:val="0"/>
        <w:spacing w:line="276" w:lineRule="auto"/>
        <w:jc w:val="both"/>
        <w:rPr>
          <w:i/>
          <w:color w:val="000000" w:themeColor="text1"/>
          <w:lang w:val="en-GB"/>
        </w:rPr>
      </w:pPr>
      <w:proofErr w:type="spellStart"/>
      <w:r w:rsidRPr="00092C9F">
        <w:rPr>
          <w:color w:val="000000" w:themeColor="text1"/>
          <w:lang w:val="en-GB"/>
        </w:rPr>
        <w:t>Floto</w:t>
      </w:r>
      <w:proofErr w:type="spellEnd"/>
      <w:r w:rsidRPr="00092C9F">
        <w:rPr>
          <w:color w:val="000000" w:themeColor="text1"/>
          <w:lang w:val="en-GB"/>
        </w:rPr>
        <w:t>, E. (1989)</w:t>
      </w:r>
      <w:r w:rsidR="009C659D" w:rsidRPr="00092C9F">
        <w:rPr>
          <w:color w:val="000000" w:themeColor="text1"/>
          <w:lang w:val="en-GB"/>
        </w:rPr>
        <w:t>:</w:t>
      </w:r>
      <w:r w:rsidRPr="00092C9F">
        <w:rPr>
          <w:color w:val="000000" w:themeColor="text1"/>
          <w:lang w:val="en-GB"/>
        </w:rPr>
        <w:t xml:space="preserve"> </w:t>
      </w:r>
      <w:r w:rsidRPr="00092C9F">
        <w:rPr>
          <w:b/>
          <w:color w:val="000000" w:themeColor="text1"/>
          <w:lang w:val="en-GB"/>
        </w:rPr>
        <w:t>The centre-periphery system and unequal exchange</w:t>
      </w:r>
      <w:r w:rsidR="009C659D" w:rsidRPr="00092C9F">
        <w:rPr>
          <w:color w:val="000000" w:themeColor="text1"/>
          <w:lang w:val="en-GB"/>
        </w:rPr>
        <w:t>,</w:t>
      </w:r>
      <w:r w:rsidRPr="00092C9F">
        <w:rPr>
          <w:color w:val="000000" w:themeColor="text1"/>
          <w:lang w:val="en-GB"/>
        </w:rPr>
        <w:t xml:space="preserve"> In </w:t>
      </w:r>
      <w:r w:rsidRPr="00092C9F">
        <w:rPr>
          <w:i/>
          <w:color w:val="000000" w:themeColor="text1"/>
          <w:lang w:val="en-GB"/>
        </w:rPr>
        <w:t xml:space="preserve">United Nations’ </w:t>
      </w:r>
    </w:p>
    <w:p w14:paraId="22E25676" w14:textId="36267F6A" w:rsidR="00186CE3" w:rsidRPr="00092C9F" w:rsidRDefault="00186CE3" w:rsidP="00D00498">
      <w:pPr>
        <w:widowControl w:val="0"/>
        <w:spacing w:line="276" w:lineRule="auto"/>
        <w:ind w:firstLine="720"/>
        <w:jc w:val="both"/>
        <w:rPr>
          <w:i/>
          <w:color w:val="000000" w:themeColor="text1"/>
          <w:lang w:val="en-GB"/>
        </w:rPr>
      </w:pPr>
      <w:r w:rsidRPr="00092C9F">
        <w:rPr>
          <w:i/>
          <w:color w:val="000000" w:themeColor="text1"/>
          <w:lang w:val="en-GB"/>
        </w:rPr>
        <w:t>CEPAL Review</w:t>
      </w:r>
      <w:r w:rsidRPr="00092C9F">
        <w:rPr>
          <w:color w:val="000000" w:themeColor="text1"/>
          <w:lang w:val="en-GB"/>
        </w:rPr>
        <w:t xml:space="preserve"> </w:t>
      </w:r>
      <w:r w:rsidRPr="00092C9F">
        <w:rPr>
          <w:i/>
          <w:color w:val="000000" w:themeColor="text1"/>
          <w:lang w:val="en-GB"/>
        </w:rPr>
        <w:t>No. 39</w:t>
      </w:r>
      <w:r w:rsidRPr="00092C9F">
        <w:rPr>
          <w:color w:val="000000" w:themeColor="text1"/>
          <w:lang w:val="en-GB"/>
        </w:rPr>
        <w:t xml:space="preserve"> (135-154)</w:t>
      </w:r>
      <w:r w:rsidR="009C659D" w:rsidRPr="00092C9F">
        <w:rPr>
          <w:color w:val="000000" w:themeColor="text1"/>
          <w:lang w:val="en-GB"/>
        </w:rPr>
        <w:t>,</w:t>
      </w:r>
      <w:r w:rsidRPr="00092C9F">
        <w:rPr>
          <w:color w:val="000000" w:themeColor="text1"/>
          <w:lang w:val="en-GB"/>
        </w:rPr>
        <w:t xml:space="preserve"> Santiago: United Nations.</w:t>
      </w:r>
    </w:p>
    <w:p w14:paraId="601BC4D5" w14:textId="7A0DE92D" w:rsidR="00186CE3" w:rsidRPr="00092C9F" w:rsidRDefault="00186CE3" w:rsidP="00D00498">
      <w:pPr>
        <w:widowControl w:val="0"/>
        <w:spacing w:line="276" w:lineRule="auto"/>
        <w:jc w:val="both"/>
        <w:rPr>
          <w:lang w:val="en-GB"/>
        </w:rPr>
      </w:pPr>
      <w:r w:rsidRPr="00092C9F">
        <w:t>Galbraith, J. K. (2016)</w:t>
      </w:r>
      <w:r w:rsidR="00670630" w:rsidRPr="00092C9F">
        <w:t>:</w:t>
      </w:r>
      <w:r w:rsidRPr="00092C9F">
        <w:t xml:space="preserve"> </w:t>
      </w:r>
      <w:r w:rsidRPr="00092C9F">
        <w:rPr>
          <w:b/>
        </w:rPr>
        <w:t>Inequality</w:t>
      </w:r>
      <w:r w:rsidRPr="00092C9F">
        <w:t>, New York: Oxford University Press.</w:t>
      </w:r>
    </w:p>
    <w:p w14:paraId="245B02A9" w14:textId="16C5FB86" w:rsidR="00186CE3" w:rsidRPr="00092C9F" w:rsidRDefault="00186CE3" w:rsidP="00D00498">
      <w:pPr>
        <w:autoSpaceDE w:val="0"/>
        <w:autoSpaceDN w:val="0"/>
        <w:adjustRightInd w:val="0"/>
        <w:spacing w:line="276" w:lineRule="auto"/>
        <w:jc w:val="both"/>
      </w:pPr>
      <w:r w:rsidRPr="00092C9F">
        <w:t>Galbraith, J.K. (2000)</w:t>
      </w:r>
      <w:r w:rsidR="00670630" w:rsidRPr="00092C9F">
        <w:t>:</w:t>
      </w:r>
      <w:r w:rsidRPr="00092C9F">
        <w:rPr>
          <w:i/>
        </w:rPr>
        <w:t xml:space="preserve"> </w:t>
      </w:r>
      <w:r w:rsidRPr="00092C9F">
        <w:rPr>
          <w:b/>
        </w:rPr>
        <w:t>Created Unequal</w:t>
      </w:r>
      <w:r w:rsidRPr="00092C9F">
        <w:t>, Chicago: Chicago University Press</w:t>
      </w:r>
      <w:r w:rsidR="00670630" w:rsidRPr="00092C9F">
        <w:t>.</w:t>
      </w:r>
    </w:p>
    <w:p w14:paraId="332A5EC5" w14:textId="77777777" w:rsidR="00987591" w:rsidRPr="00092C9F" w:rsidRDefault="00186CE3" w:rsidP="00D00498">
      <w:pPr>
        <w:spacing w:line="276" w:lineRule="auto"/>
        <w:jc w:val="both"/>
        <w:rPr>
          <w:color w:val="000000" w:themeColor="text1"/>
          <w:lang w:val="en-GB"/>
        </w:rPr>
      </w:pPr>
      <w:proofErr w:type="spellStart"/>
      <w:r w:rsidRPr="00092C9F">
        <w:rPr>
          <w:color w:val="000000" w:themeColor="text1"/>
          <w:lang w:val="en-GB"/>
        </w:rPr>
        <w:t>Gollin</w:t>
      </w:r>
      <w:proofErr w:type="spellEnd"/>
      <w:r w:rsidRPr="00092C9F">
        <w:rPr>
          <w:color w:val="000000" w:themeColor="text1"/>
          <w:lang w:val="en-GB"/>
        </w:rPr>
        <w:t>, D. (2002)</w:t>
      </w:r>
      <w:r w:rsidR="00987591" w:rsidRPr="00092C9F">
        <w:rPr>
          <w:color w:val="000000" w:themeColor="text1"/>
          <w:lang w:val="en-GB"/>
        </w:rPr>
        <w:t>:</w:t>
      </w:r>
      <w:r w:rsidRPr="00092C9F">
        <w:rPr>
          <w:color w:val="000000" w:themeColor="text1"/>
          <w:lang w:val="en-GB"/>
        </w:rPr>
        <w:t xml:space="preserve"> </w:t>
      </w:r>
      <w:r w:rsidRPr="00092C9F">
        <w:rPr>
          <w:b/>
          <w:color w:val="000000" w:themeColor="text1"/>
          <w:lang w:val="en-GB"/>
        </w:rPr>
        <w:t>Getting Income Shares Right</w:t>
      </w:r>
      <w:r w:rsidR="00987591" w:rsidRPr="00092C9F">
        <w:rPr>
          <w:color w:val="000000" w:themeColor="text1"/>
          <w:lang w:val="en-GB"/>
        </w:rPr>
        <w:t>,</w:t>
      </w:r>
      <w:r w:rsidRPr="00092C9F">
        <w:rPr>
          <w:b/>
          <w:color w:val="000000" w:themeColor="text1"/>
          <w:lang w:val="en-GB"/>
        </w:rPr>
        <w:t xml:space="preserve"> </w:t>
      </w:r>
      <w:r w:rsidRPr="00092C9F">
        <w:rPr>
          <w:b/>
          <w:i/>
          <w:color w:val="000000" w:themeColor="text1"/>
          <w:lang w:val="en-GB"/>
        </w:rPr>
        <w:t>Journal of Political Economy</w:t>
      </w:r>
      <w:r w:rsidRPr="00092C9F">
        <w:rPr>
          <w:color w:val="000000" w:themeColor="text1"/>
          <w:lang w:val="en-GB"/>
        </w:rPr>
        <w:t>, 110</w:t>
      </w:r>
      <w:r w:rsidR="00987591" w:rsidRPr="00092C9F">
        <w:rPr>
          <w:color w:val="000000" w:themeColor="text1"/>
          <w:lang w:val="en-GB"/>
        </w:rPr>
        <w:t xml:space="preserve">: </w:t>
      </w:r>
      <w:r w:rsidRPr="00092C9F">
        <w:rPr>
          <w:color w:val="000000" w:themeColor="text1"/>
          <w:lang w:val="en-GB"/>
        </w:rPr>
        <w:t>458-</w:t>
      </w:r>
    </w:p>
    <w:p w14:paraId="5281DAB8" w14:textId="24282544" w:rsidR="00186CE3" w:rsidRPr="00092C9F" w:rsidRDefault="00186CE3" w:rsidP="00D00498">
      <w:pPr>
        <w:spacing w:line="276" w:lineRule="auto"/>
        <w:ind w:firstLine="720"/>
        <w:jc w:val="both"/>
        <w:rPr>
          <w:color w:val="000000" w:themeColor="text1"/>
          <w:lang w:val="en-GB"/>
        </w:rPr>
      </w:pPr>
      <w:r w:rsidRPr="00092C9F">
        <w:rPr>
          <w:color w:val="000000" w:themeColor="text1"/>
          <w:lang w:val="en-GB"/>
        </w:rPr>
        <w:t>474</w:t>
      </w:r>
      <w:r w:rsidRPr="00092C9F">
        <w:rPr>
          <w:color w:val="000000" w:themeColor="text1"/>
          <w:shd w:val="clear" w:color="auto" w:fill="FFFFFF"/>
          <w:lang w:val="en-GB"/>
        </w:rPr>
        <w:t>.</w:t>
      </w:r>
    </w:p>
    <w:p w14:paraId="636DBD3D" w14:textId="77777777" w:rsidR="009C659D" w:rsidRPr="00092C9F" w:rsidRDefault="00186CE3" w:rsidP="00D00498">
      <w:pPr>
        <w:widowControl w:val="0"/>
        <w:spacing w:line="276" w:lineRule="auto"/>
        <w:jc w:val="both"/>
        <w:rPr>
          <w:lang w:val="en-GB"/>
        </w:rPr>
      </w:pPr>
      <w:r w:rsidRPr="00092C9F">
        <w:rPr>
          <w:lang w:val="en-GB"/>
        </w:rPr>
        <w:t>Guerriero, M. (2012)</w:t>
      </w:r>
      <w:r w:rsidR="009C659D" w:rsidRPr="00092C9F">
        <w:rPr>
          <w:lang w:val="en-GB"/>
        </w:rPr>
        <w:t>,</w:t>
      </w:r>
      <w:r w:rsidRPr="00092C9F">
        <w:rPr>
          <w:lang w:val="en-GB"/>
        </w:rPr>
        <w:t xml:space="preserve"> </w:t>
      </w:r>
      <w:r w:rsidRPr="00092C9F">
        <w:rPr>
          <w:b/>
          <w:lang w:val="en-GB"/>
        </w:rPr>
        <w:t>The Labour Share of Income around the World</w:t>
      </w:r>
      <w:r w:rsidR="009C659D" w:rsidRPr="00092C9F">
        <w:rPr>
          <w:lang w:val="en-GB"/>
        </w:rPr>
        <w:t xml:space="preserve">, </w:t>
      </w:r>
      <w:r w:rsidRPr="00092C9F">
        <w:rPr>
          <w:lang w:val="en-GB"/>
        </w:rPr>
        <w:t xml:space="preserve">Development </w:t>
      </w:r>
    </w:p>
    <w:p w14:paraId="5AB0B011" w14:textId="78DA2296" w:rsidR="00186CE3" w:rsidRPr="00092C9F" w:rsidRDefault="00186CE3" w:rsidP="00D00498">
      <w:pPr>
        <w:widowControl w:val="0"/>
        <w:spacing w:line="276" w:lineRule="auto"/>
        <w:ind w:firstLine="720"/>
        <w:jc w:val="both"/>
        <w:rPr>
          <w:i/>
          <w:lang w:val="en-GB"/>
        </w:rPr>
      </w:pPr>
      <w:r w:rsidRPr="00092C9F">
        <w:rPr>
          <w:lang w:val="en-GB"/>
        </w:rPr>
        <w:t xml:space="preserve">Economics and Public Policy Working Paper Series No. 32/2012. </w:t>
      </w:r>
    </w:p>
    <w:p w14:paraId="55DFC68D" w14:textId="77777777" w:rsidR="00E71721" w:rsidRPr="00092C9F" w:rsidRDefault="00186CE3" w:rsidP="00D00498">
      <w:pPr>
        <w:spacing w:line="276" w:lineRule="auto"/>
        <w:jc w:val="both"/>
        <w:rPr>
          <w:lang w:val="en-GB"/>
        </w:rPr>
      </w:pPr>
      <w:proofErr w:type="spellStart"/>
      <w:r w:rsidRPr="00092C9F">
        <w:rPr>
          <w:lang w:val="en-GB"/>
        </w:rPr>
        <w:t>Guscina</w:t>
      </w:r>
      <w:proofErr w:type="spellEnd"/>
      <w:r w:rsidRPr="00092C9F">
        <w:rPr>
          <w:lang w:val="en-GB"/>
        </w:rPr>
        <w:t>, A. (2006)</w:t>
      </w:r>
      <w:r w:rsidR="00E71721" w:rsidRPr="00092C9F">
        <w:rPr>
          <w:lang w:val="en-GB"/>
        </w:rPr>
        <w:t>,</w:t>
      </w:r>
      <w:r w:rsidRPr="00092C9F">
        <w:rPr>
          <w:lang w:val="en-GB"/>
        </w:rPr>
        <w:t xml:space="preserve"> </w:t>
      </w:r>
      <w:r w:rsidRPr="00092C9F">
        <w:rPr>
          <w:b/>
          <w:lang w:val="en-GB"/>
        </w:rPr>
        <w:t>Effects on globalisation on labour’s share in national income</w:t>
      </w:r>
      <w:r w:rsidR="00E71721" w:rsidRPr="00092C9F">
        <w:rPr>
          <w:lang w:val="en-GB"/>
        </w:rPr>
        <w:t>,</w:t>
      </w:r>
      <w:r w:rsidRPr="00092C9F">
        <w:rPr>
          <w:lang w:val="en-GB"/>
        </w:rPr>
        <w:t xml:space="preserve"> </w:t>
      </w:r>
    </w:p>
    <w:p w14:paraId="475F533E" w14:textId="0BD3C2AB" w:rsidR="00186CE3" w:rsidRPr="00092C9F" w:rsidRDefault="00186CE3" w:rsidP="00D00498">
      <w:pPr>
        <w:spacing w:line="276" w:lineRule="auto"/>
        <w:ind w:firstLine="720"/>
        <w:jc w:val="both"/>
        <w:rPr>
          <w:rFonts w:cs="Times New Roman (Body CS)"/>
          <w:lang w:val="en-GB"/>
        </w:rPr>
      </w:pPr>
      <w:r w:rsidRPr="00092C9F">
        <w:rPr>
          <w:lang w:val="en-GB"/>
        </w:rPr>
        <w:t>Washington: International Monetary Fund</w:t>
      </w:r>
      <w:r w:rsidR="00E71721" w:rsidRPr="00092C9F">
        <w:rPr>
          <w:lang w:val="en-GB"/>
        </w:rPr>
        <w:t>, Working Paper No. 06/294)</w:t>
      </w:r>
      <w:r w:rsidR="00E71721" w:rsidRPr="00092C9F">
        <w:rPr>
          <w:color w:val="000000" w:themeColor="text1"/>
          <w:lang w:val="en-GB"/>
        </w:rPr>
        <w:t>.</w:t>
      </w:r>
    </w:p>
    <w:p w14:paraId="1CF8AAE4" w14:textId="77777777" w:rsidR="00BB24FB" w:rsidRPr="00092C9F" w:rsidRDefault="00186CE3" w:rsidP="00D00498">
      <w:pPr>
        <w:spacing w:line="276" w:lineRule="auto"/>
        <w:jc w:val="both"/>
        <w:rPr>
          <w:color w:val="000000" w:themeColor="text1"/>
          <w:lang w:val="en-GB"/>
        </w:rPr>
      </w:pPr>
      <w:proofErr w:type="spellStart"/>
      <w:r w:rsidRPr="00092C9F">
        <w:rPr>
          <w:color w:val="000000" w:themeColor="text1"/>
          <w:lang w:val="en-GB"/>
        </w:rPr>
        <w:t>Hardberger</w:t>
      </w:r>
      <w:proofErr w:type="spellEnd"/>
      <w:r w:rsidRPr="00092C9F">
        <w:rPr>
          <w:color w:val="000000" w:themeColor="text1"/>
          <w:lang w:val="en-GB"/>
        </w:rPr>
        <w:t>, A. (1978)</w:t>
      </w:r>
      <w:r w:rsidR="00BB24FB" w:rsidRPr="00092C9F">
        <w:rPr>
          <w:color w:val="000000" w:themeColor="text1"/>
          <w:lang w:val="en-GB"/>
        </w:rPr>
        <w:t>:</w:t>
      </w:r>
      <w:r w:rsidRPr="00092C9F">
        <w:rPr>
          <w:color w:val="000000" w:themeColor="text1"/>
          <w:lang w:val="en-GB"/>
        </w:rPr>
        <w:t xml:space="preserve"> </w:t>
      </w:r>
      <w:r w:rsidRPr="00092C9F">
        <w:rPr>
          <w:b/>
          <w:color w:val="000000" w:themeColor="text1"/>
          <w:lang w:val="en-GB"/>
        </w:rPr>
        <w:t>Perspectives on capital and technology in less developed countries</w:t>
      </w:r>
      <w:r w:rsidR="00BB24FB" w:rsidRPr="00092C9F">
        <w:rPr>
          <w:color w:val="000000" w:themeColor="text1"/>
          <w:lang w:val="en-GB"/>
        </w:rPr>
        <w:t>,</w:t>
      </w:r>
      <w:r w:rsidRPr="00092C9F">
        <w:rPr>
          <w:color w:val="000000" w:themeColor="text1"/>
          <w:lang w:val="en-GB"/>
        </w:rPr>
        <w:t xml:space="preserve"> </w:t>
      </w:r>
    </w:p>
    <w:p w14:paraId="2F094DE9" w14:textId="64D00FBD" w:rsidR="00186CE3" w:rsidRPr="00092C9F" w:rsidRDefault="00186CE3" w:rsidP="00D00498">
      <w:pPr>
        <w:spacing w:line="276" w:lineRule="auto"/>
        <w:ind w:left="720"/>
        <w:jc w:val="both"/>
        <w:rPr>
          <w:color w:val="000000" w:themeColor="text1"/>
          <w:lang w:val="en-GB"/>
        </w:rPr>
      </w:pPr>
      <w:r w:rsidRPr="00092C9F">
        <w:rPr>
          <w:color w:val="000000" w:themeColor="text1"/>
          <w:lang w:val="en-GB"/>
        </w:rPr>
        <w:lastRenderedPageBreak/>
        <w:t xml:space="preserve">In </w:t>
      </w:r>
      <w:proofErr w:type="spellStart"/>
      <w:r w:rsidRPr="00092C9F">
        <w:rPr>
          <w:color w:val="000000" w:themeColor="text1"/>
          <w:lang w:val="en-GB"/>
        </w:rPr>
        <w:t>Artis</w:t>
      </w:r>
      <w:proofErr w:type="spellEnd"/>
      <w:r w:rsidRPr="00092C9F">
        <w:rPr>
          <w:color w:val="000000" w:themeColor="text1"/>
          <w:lang w:val="en-GB"/>
        </w:rPr>
        <w:t xml:space="preserve">, M. J. and </w:t>
      </w:r>
      <w:proofErr w:type="spellStart"/>
      <w:r w:rsidRPr="00092C9F">
        <w:rPr>
          <w:color w:val="000000" w:themeColor="text1"/>
          <w:lang w:val="en-GB"/>
        </w:rPr>
        <w:t>Nobay</w:t>
      </w:r>
      <w:proofErr w:type="spellEnd"/>
      <w:r w:rsidRPr="00092C9F">
        <w:rPr>
          <w:color w:val="000000" w:themeColor="text1"/>
          <w:lang w:val="en-GB"/>
        </w:rPr>
        <w:t>, A. R.</w:t>
      </w:r>
      <w:r w:rsidR="00BB24FB" w:rsidRPr="00092C9F">
        <w:rPr>
          <w:color w:val="000000" w:themeColor="text1"/>
          <w:lang w:val="en-GB"/>
        </w:rPr>
        <w:t>, e</w:t>
      </w:r>
      <w:r w:rsidRPr="00092C9F">
        <w:rPr>
          <w:color w:val="000000" w:themeColor="text1"/>
          <w:lang w:val="en-GB"/>
        </w:rPr>
        <w:t>ds.</w:t>
      </w:r>
      <w:r w:rsidR="00BB24FB" w:rsidRPr="00092C9F">
        <w:rPr>
          <w:color w:val="000000" w:themeColor="text1"/>
          <w:lang w:val="en-GB"/>
        </w:rPr>
        <w:t>:</w:t>
      </w:r>
      <w:r w:rsidRPr="00092C9F">
        <w:rPr>
          <w:color w:val="000000" w:themeColor="text1"/>
          <w:lang w:val="en-GB"/>
        </w:rPr>
        <w:t xml:space="preserve"> </w:t>
      </w:r>
      <w:r w:rsidRPr="00092C9F">
        <w:rPr>
          <w:b/>
          <w:i/>
          <w:color w:val="000000" w:themeColor="text1"/>
          <w:lang w:val="en-GB"/>
        </w:rPr>
        <w:t>Contemporary economic analysis: papers pres. at the (Annual) Conference of the Association of University Teachers of Economics April 1977</w:t>
      </w:r>
      <w:r w:rsidR="00BB24FB" w:rsidRPr="00092C9F">
        <w:rPr>
          <w:color w:val="000000" w:themeColor="text1"/>
          <w:lang w:val="en-GB"/>
        </w:rPr>
        <w:t>,</w:t>
      </w:r>
      <w:r w:rsidRPr="00092C9F">
        <w:rPr>
          <w:color w:val="000000" w:themeColor="text1"/>
          <w:lang w:val="en-GB"/>
        </w:rPr>
        <w:t xml:space="preserve"> London: Croom Helm.</w:t>
      </w:r>
    </w:p>
    <w:p w14:paraId="12FEBC10" w14:textId="1126C21A" w:rsidR="00186CE3" w:rsidRPr="00092C9F" w:rsidRDefault="00186CE3" w:rsidP="00D00498">
      <w:pPr>
        <w:spacing w:line="276" w:lineRule="auto"/>
        <w:jc w:val="both"/>
        <w:rPr>
          <w:lang w:val="en-GB"/>
        </w:rPr>
      </w:pPr>
      <w:r w:rsidRPr="00092C9F">
        <w:rPr>
          <w:lang w:val="en-GB"/>
        </w:rPr>
        <w:t>Harvey, D. (2005)</w:t>
      </w:r>
      <w:r w:rsidR="00670630" w:rsidRPr="00092C9F">
        <w:rPr>
          <w:lang w:val="en-GB"/>
        </w:rPr>
        <w:t>:</w:t>
      </w:r>
      <w:r w:rsidRPr="00092C9F">
        <w:rPr>
          <w:lang w:val="en-GB"/>
        </w:rPr>
        <w:t xml:space="preserve"> </w:t>
      </w:r>
      <w:r w:rsidRPr="00092C9F">
        <w:rPr>
          <w:b/>
          <w:lang w:val="en-GB"/>
        </w:rPr>
        <w:t xml:space="preserve">The New </w:t>
      </w:r>
      <w:r w:rsidRPr="00092C9F">
        <w:rPr>
          <w:lang w:val="en-GB"/>
        </w:rPr>
        <w:t>Imperialism</w:t>
      </w:r>
      <w:r w:rsidR="00670630" w:rsidRPr="00092C9F">
        <w:rPr>
          <w:lang w:val="en-GB"/>
        </w:rPr>
        <w:t xml:space="preserve">, </w:t>
      </w:r>
      <w:r w:rsidRPr="00092C9F">
        <w:rPr>
          <w:lang w:val="en-GB"/>
        </w:rPr>
        <w:t>New York: Oxford University Press.</w:t>
      </w:r>
    </w:p>
    <w:p w14:paraId="49DAC04E" w14:textId="77777777" w:rsidR="00BE6FFE" w:rsidRPr="00092C9F" w:rsidRDefault="00186CE3" w:rsidP="00D00498">
      <w:pPr>
        <w:autoSpaceDE w:val="0"/>
        <w:autoSpaceDN w:val="0"/>
        <w:adjustRightInd w:val="0"/>
        <w:spacing w:line="276" w:lineRule="auto"/>
        <w:jc w:val="both"/>
        <w:rPr>
          <w:b/>
          <w:lang w:val="en-GB"/>
        </w:rPr>
      </w:pPr>
      <w:r w:rsidRPr="00092C9F">
        <w:rPr>
          <w:lang w:val="en-GB"/>
        </w:rPr>
        <w:t>Heckscher, E. (1919)</w:t>
      </w:r>
      <w:r w:rsidR="00BE6FFE" w:rsidRPr="00092C9F">
        <w:rPr>
          <w:lang w:val="en-GB"/>
        </w:rPr>
        <w:t>:</w:t>
      </w:r>
      <w:r w:rsidRPr="00092C9F">
        <w:rPr>
          <w:lang w:val="en-GB"/>
        </w:rPr>
        <w:t xml:space="preserve"> </w:t>
      </w:r>
      <w:r w:rsidRPr="00092C9F">
        <w:rPr>
          <w:b/>
          <w:lang w:val="en-GB"/>
        </w:rPr>
        <w:t>The Effect of Foreign Trade on the Distribution of Income</w:t>
      </w:r>
      <w:r w:rsidR="00BE6FFE" w:rsidRPr="00092C9F">
        <w:rPr>
          <w:lang w:val="en-GB"/>
        </w:rPr>
        <w:t>,</w:t>
      </w:r>
      <w:r w:rsidRPr="00092C9F">
        <w:rPr>
          <w:b/>
          <w:lang w:val="en-GB"/>
        </w:rPr>
        <w:t xml:space="preserve"> </w:t>
      </w:r>
    </w:p>
    <w:p w14:paraId="5181722D" w14:textId="7630D14F" w:rsidR="00186CE3" w:rsidRPr="00092C9F" w:rsidRDefault="00186CE3" w:rsidP="00D00498">
      <w:pPr>
        <w:autoSpaceDE w:val="0"/>
        <w:autoSpaceDN w:val="0"/>
        <w:adjustRightInd w:val="0"/>
        <w:spacing w:line="276" w:lineRule="auto"/>
        <w:ind w:left="720"/>
        <w:jc w:val="both"/>
        <w:rPr>
          <w:lang w:val="en-GB"/>
        </w:rPr>
      </w:pPr>
      <w:proofErr w:type="spellStart"/>
      <w:r w:rsidRPr="00092C9F">
        <w:rPr>
          <w:b/>
          <w:i/>
          <w:lang w:val="en-GB"/>
        </w:rPr>
        <w:t>Ekonomisk</w:t>
      </w:r>
      <w:proofErr w:type="spellEnd"/>
      <w:r w:rsidRPr="00092C9F">
        <w:rPr>
          <w:b/>
          <w:i/>
          <w:lang w:val="en-GB"/>
        </w:rPr>
        <w:t xml:space="preserve"> </w:t>
      </w:r>
      <w:proofErr w:type="spellStart"/>
      <w:r w:rsidRPr="00092C9F">
        <w:rPr>
          <w:b/>
          <w:i/>
          <w:lang w:val="en-GB"/>
        </w:rPr>
        <w:t>Tidskrift</w:t>
      </w:r>
      <w:proofErr w:type="spellEnd"/>
      <w:r w:rsidRPr="00092C9F">
        <w:rPr>
          <w:lang w:val="en-GB"/>
        </w:rPr>
        <w:t xml:space="preserve">, Reprinted in American Economic Association. (1949). </w:t>
      </w:r>
      <w:r w:rsidRPr="00092C9F">
        <w:rPr>
          <w:b/>
          <w:i/>
          <w:lang w:val="en-GB"/>
        </w:rPr>
        <w:t>Readings in the Theory of International Trade</w:t>
      </w:r>
      <w:r w:rsidR="00BE6FFE" w:rsidRPr="00092C9F">
        <w:rPr>
          <w:i/>
          <w:lang w:val="en-GB"/>
        </w:rPr>
        <w:t>,</w:t>
      </w:r>
      <w:r w:rsidRPr="00092C9F">
        <w:rPr>
          <w:lang w:val="en-GB"/>
        </w:rPr>
        <w:t xml:space="preserve"> Philadelphia: </w:t>
      </w:r>
      <w:proofErr w:type="spellStart"/>
      <w:r w:rsidRPr="00092C9F">
        <w:rPr>
          <w:lang w:val="en-GB"/>
        </w:rPr>
        <w:t>Blakiston</w:t>
      </w:r>
      <w:proofErr w:type="spellEnd"/>
      <w:r w:rsidRPr="00092C9F">
        <w:rPr>
          <w:lang w:val="en-GB"/>
        </w:rPr>
        <w:t>.</w:t>
      </w:r>
    </w:p>
    <w:p w14:paraId="1FDB8363" w14:textId="77777777" w:rsidR="00987591" w:rsidRPr="00092C9F" w:rsidRDefault="00186CE3" w:rsidP="00D00498">
      <w:pPr>
        <w:spacing w:line="276" w:lineRule="auto"/>
        <w:jc w:val="both"/>
        <w:rPr>
          <w:b/>
          <w:i/>
          <w:lang w:val="en-GB"/>
        </w:rPr>
      </w:pPr>
      <w:r w:rsidRPr="00092C9F">
        <w:rPr>
          <w:lang w:val="en-GB"/>
        </w:rPr>
        <w:t xml:space="preserve">Hein, E. and </w:t>
      </w:r>
      <w:proofErr w:type="spellStart"/>
      <w:r w:rsidRPr="00092C9F">
        <w:rPr>
          <w:lang w:val="en-GB"/>
        </w:rPr>
        <w:t>Truger</w:t>
      </w:r>
      <w:proofErr w:type="spellEnd"/>
      <w:r w:rsidRPr="00092C9F">
        <w:rPr>
          <w:lang w:val="en-GB"/>
        </w:rPr>
        <w:t>, A. (2005)</w:t>
      </w:r>
      <w:r w:rsidR="00987591" w:rsidRPr="00092C9F">
        <w:rPr>
          <w:lang w:val="en-GB"/>
        </w:rPr>
        <w:t>:</w:t>
      </w:r>
      <w:r w:rsidRPr="00092C9F">
        <w:rPr>
          <w:lang w:val="en-GB"/>
        </w:rPr>
        <w:t xml:space="preserve"> </w:t>
      </w:r>
      <w:r w:rsidRPr="00092C9F">
        <w:rPr>
          <w:b/>
          <w:lang w:val="en-GB"/>
        </w:rPr>
        <w:t>European Monetary Union</w:t>
      </w:r>
      <w:r w:rsidR="00987591" w:rsidRPr="00092C9F">
        <w:rPr>
          <w:lang w:val="en-GB"/>
        </w:rPr>
        <w:t>,</w:t>
      </w:r>
      <w:r w:rsidRPr="00092C9F">
        <w:rPr>
          <w:b/>
          <w:lang w:val="en-GB"/>
        </w:rPr>
        <w:t xml:space="preserve"> </w:t>
      </w:r>
      <w:r w:rsidRPr="00092C9F">
        <w:rPr>
          <w:b/>
          <w:i/>
          <w:lang w:val="en-GB"/>
        </w:rPr>
        <w:t xml:space="preserve">Structural Change and </w:t>
      </w:r>
    </w:p>
    <w:p w14:paraId="6E06034F" w14:textId="3E88C432" w:rsidR="00186CE3" w:rsidRPr="00092C9F" w:rsidRDefault="00186CE3" w:rsidP="00D00498">
      <w:pPr>
        <w:spacing w:line="276" w:lineRule="auto"/>
        <w:ind w:firstLine="720"/>
        <w:jc w:val="both"/>
        <w:rPr>
          <w:b/>
          <w:lang w:val="en-GB"/>
        </w:rPr>
      </w:pPr>
      <w:r w:rsidRPr="00092C9F">
        <w:rPr>
          <w:b/>
          <w:i/>
          <w:lang w:val="en-GB"/>
        </w:rPr>
        <w:t>Economic Dynamics</w:t>
      </w:r>
      <w:r w:rsidRPr="00092C9F">
        <w:rPr>
          <w:lang w:val="en-GB"/>
        </w:rPr>
        <w:t>, 16</w:t>
      </w:r>
      <w:r w:rsidR="00987591" w:rsidRPr="00092C9F">
        <w:rPr>
          <w:lang w:val="en-GB"/>
        </w:rPr>
        <w:t>:</w:t>
      </w:r>
      <w:r w:rsidRPr="00092C9F">
        <w:rPr>
          <w:lang w:val="en-GB"/>
        </w:rPr>
        <w:t xml:space="preserve"> 7-33.</w:t>
      </w:r>
    </w:p>
    <w:p w14:paraId="73D203A9" w14:textId="77777777" w:rsidR="00987591" w:rsidRPr="00092C9F" w:rsidRDefault="00186CE3" w:rsidP="00D00498">
      <w:pPr>
        <w:spacing w:line="276" w:lineRule="auto"/>
        <w:jc w:val="both"/>
        <w:rPr>
          <w:b/>
          <w:i/>
          <w:lang w:val="en-GB"/>
        </w:rPr>
      </w:pPr>
      <w:proofErr w:type="spellStart"/>
      <w:r w:rsidRPr="00092C9F">
        <w:rPr>
          <w:lang w:val="en-GB"/>
        </w:rPr>
        <w:t>Jayadev</w:t>
      </w:r>
      <w:proofErr w:type="spellEnd"/>
      <w:r w:rsidRPr="00092C9F">
        <w:rPr>
          <w:lang w:val="en-GB"/>
        </w:rPr>
        <w:t>, A. (2007)</w:t>
      </w:r>
      <w:r w:rsidR="00987591" w:rsidRPr="00092C9F">
        <w:rPr>
          <w:lang w:val="en-GB"/>
        </w:rPr>
        <w:t>:</w:t>
      </w:r>
      <w:r w:rsidRPr="00092C9F">
        <w:rPr>
          <w:lang w:val="en-GB"/>
        </w:rPr>
        <w:t xml:space="preserve"> </w:t>
      </w:r>
      <w:r w:rsidRPr="00092C9F">
        <w:rPr>
          <w:b/>
          <w:lang w:val="en-GB"/>
        </w:rPr>
        <w:t>Capital account openness and the labour share of income</w:t>
      </w:r>
      <w:r w:rsidR="00987591" w:rsidRPr="00092C9F">
        <w:rPr>
          <w:lang w:val="en-GB"/>
        </w:rPr>
        <w:t>,</w:t>
      </w:r>
      <w:r w:rsidRPr="00092C9F">
        <w:rPr>
          <w:b/>
          <w:lang w:val="en-GB"/>
        </w:rPr>
        <w:t xml:space="preserve"> </w:t>
      </w:r>
      <w:r w:rsidRPr="00092C9F">
        <w:rPr>
          <w:b/>
          <w:i/>
          <w:lang w:val="en-GB"/>
        </w:rPr>
        <w:t xml:space="preserve">Cambridge </w:t>
      </w:r>
    </w:p>
    <w:p w14:paraId="77B9DB2B" w14:textId="215C7A71" w:rsidR="00186CE3" w:rsidRPr="00092C9F" w:rsidRDefault="00186CE3" w:rsidP="00D00498">
      <w:pPr>
        <w:spacing w:line="276" w:lineRule="auto"/>
        <w:ind w:firstLine="720"/>
        <w:jc w:val="both"/>
        <w:rPr>
          <w:rFonts w:cs="Times New Roman (Body CS)"/>
          <w:i/>
          <w:lang w:val="en-GB"/>
        </w:rPr>
      </w:pPr>
      <w:r w:rsidRPr="00092C9F">
        <w:rPr>
          <w:b/>
          <w:i/>
          <w:lang w:val="en-GB"/>
        </w:rPr>
        <w:t>Journal of Economics</w:t>
      </w:r>
      <w:r w:rsidRPr="00092C9F">
        <w:rPr>
          <w:lang w:val="en-GB"/>
        </w:rPr>
        <w:t>, 31</w:t>
      </w:r>
      <w:r w:rsidR="00987591" w:rsidRPr="00092C9F">
        <w:rPr>
          <w:lang w:val="en-GB"/>
        </w:rPr>
        <w:t xml:space="preserve">: </w:t>
      </w:r>
      <w:r w:rsidRPr="00092C9F">
        <w:rPr>
          <w:lang w:val="en-GB"/>
        </w:rPr>
        <w:t>423-443.</w:t>
      </w:r>
    </w:p>
    <w:p w14:paraId="388C792F" w14:textId="77777777" w:rsidR="00987591" w:rsidRPr="00092C9F" w:rsidRDefault="00186CE3" w:rsidP="00D00498">
      <w:pPr>
        <w:spacing w:line="276" w:lineRule="auto"/>
        <w:jc w:val="both"/>
        <w:rPr>
          <w:b/>
          <w:lang w:val="en-GB"/>
        </w:rPr>
      </w:pPr>
      <w:r w:rsidRPr="00092C9F">
        <w:rPr>
          <w:lang w:val="en-GB"/>
        </w:rPr>
        <w:t>Johnson, D. G. (1954)</w:t>
      </w:r>
      <w:r w:rsidR="00987591" w:rsidRPr="00092C9F">
        <w:rPr>
          <w:lang w:val="en-GB"/>
        </w:rPr>
        <w:t>:</w:t>
      </w:r>
      <w:r w:rsidRPr="00092C9F">
        <w:rPr>
          <w:lang w:val="en-GB"/>
        </w:rPr>
        <w:t xml:space="preserve"> </w:t>
      </w:r>
      <w:r w:rsidRPr="00092C9F">
        <w:rPr>
          <w:b/>
          <w:lang w:val="en-GB"/>
        </w:rPr>
        <w:t>The Functional Distribution of Income in the United States, 1850-</w:t>
      </w:r>
    </w:p>
    <w:p w14:paraId="3019E8FF" w14:textId="04B8972E" w:rsidR="00186CE3" w:rsidRPr="00092C9F" w:rsidRDefault="00186CE3" w:rsidP="00D00498">
      <w:pPr>
        <w:spacing w:line="276" w:lineRule="auto"/>
        <w:ind w:firstLine="720"/>
        <w:jc w:val="both"/>
        <w:rPr>
          <w:rFonts w:cs="Times New Roman (Body CS)"/>
          <w:lang w:val="en-GB"/>
        </w:rPr>
      </w:pPr>
      <w:r w:rsidRPr="00092C9F">
        <w:rPr>
          <w:b/>
          <w:lang w:val="en-GB"/>
        </w:rPr>
        <w:t>1952</w:t>
      </w:r>
      <w:r w:rsidR="00987591" w:rsidRPr="00092C9F">
        <w:rPr>
          <w:lang w:val="en-GB"/>
        </w:rPr>
        <w:t>,</w:t>
      </w:r>
      <w:r w:rsidRPr="00092C9F">
        <w:rPr>
          <w:b/>
          <w:lang w:val="en-GB"/>
        </w:rPr>
        <w:t xml:space="preserve"> </w:t>
      </w:r>
      <w:r w:rsidRPr="00092C9F">
        <w:rPr>
          <w:b/>
          <w:i/>
          <w:lang w:val="en-GB"/>
        </w:rPr>
        <w:t>The Review of Economics and Statistics</w:t>
      </w:r>
      <w:r w:rsidRPr="00092C9F">
        <w:rPr>
          <w:lang w:val="en-GB"/>
        </w:rPr>
        <w:t>, 36</w:t>
      </w:r>
      <w:r w:rsidR="00987591" w:rsidRPr="00092C9F">
        <w:rPr>
          <w:lang w:val="en-GB"/>
        </w:rPr>
        <w:t xml:space="preserve">: </w:t>
      </w:r>
      <w:r w:rsidRPr="00092C9F">
        <w:rPr>
          <w:lang w:val="en-GB"/>
        </w:rPr>
        <w:t>175-182.</w:t>
      </w:r>
    </w:p>
    <w:p w14:paraId="11371A1E" w14:textId="77777777" w:rsidR="00987591" w:rsidRPr="00092C9F" w:rsidRDefault="00186CE3" w:rsidP="00D00498">
      <w:pPr>
        <w:spacing w:line="276" w:lineRule="auto"/>
        <w:jc w:val="both"/>
        <w:rPr>
          <w:lang w:val="en-GB"/>
        </w:rPr>
      </w:pPr>
      <w:r w:rsidRPr="00092C9F">
        <w:rPr>
          <w:lang w:val="en-GB"/>
        </w:rPr>
        <w:t>Kaldor, N. (1970)</w:t>
      </w:r>
      <w:r w:rsidR="00987591" w:rsidRPr="00092C9F">
        <w:rPr>
          <w:lang w:val="en-GB"/>
        </w:rPr>
        <w:t>:</w:t>
      </w:r>
      <w:r w:rsidRPr="00092C9F">
        <w:rPr>
          <w:lang w:val="en-GB"/>
        </w:rPr>
        <w:t xml:space="preserve"> </w:t>
      </w:r>
      <w:r w:rsidRPr="00092C9F">
        <w:rPr>
          <w:b/>
          <w:lang w:val="en-GB"/>
        </w:rPr>
        <w:t>The Case for Regional Policies</w:t>
      </w:r>
      <w:r w:rsidR="00987591" w:rsidRPr="00092C9F">
        <w:rPr>
          <w:lang w:val="en-GB"/>
        </w:rPr>
        <w:t>,</w:t>
      </w:r>
      <w:r w:rsidRPr="00092C9F">
        <w:rPr>
          <w:b/>
          <w:lang w:val="en-GB"/>
        </w:rPr>
        <w:t xml:space="preserve"> </w:t>
      </w:r>
      <w:r w:rsidRPr="00092C9F">
        <w:rPr>
          <w:b/>
          <w:i/>
          <w:lang w:val="en-GB"/>
        </w:rPr>
        <w:t>Scottish Journal of Political Economy</w:t>
      </w:r>
      <w:r w:rsidRPr="00092C9F">
        <w:rPr>
          <w:lang w:val="en-GB"/>
        </w:rPr>
        <w:t xml:space="preserve">, </w:t>
      </w:r>
    </w:p>
    <w:p w14:paraId="6D0C5986" w14:textId="01861DEF" w:rsidR="00186CE3" w:rsidRPr="00092C9F" w:rsidRDefault="00186CE3" w:rsidP="00D00498">
      <w:pPr>
        <w:spacing w:line="276" w:lineRule="auto"/>
        <w:ind w:firstLine="720"/>
        <w:jc w:val="both"/>
        <w:rPr>
          <w:lang w:val="en-GB"/>
        </w:rPr>
      </w:pPr>
      <w:r w:rsidRPr="00092C9F">
        <w:rPr>
          <w:lang w:val="en-GB"/>
        </w:rPr>
        <w:t>17</w:t>
      </w:r>
      <w:r w:rsidR="00987591" w:rsidRPr="00092C9F">
        <w:rPr>
          <w:lang w:val="en-GB"/>
        </w:rPr>
        <w:t xml:space="preserve">: </w:t>
      </w:r>
      <w:r w:rsidRPr="00092C9F">
        <w:rPr>
          <w:lang w:val="en-GB"/>
        </w:rPr>
        <w:t>234-263.</w:t>
      </w:r>
    </w:p>
    <w:p w14:paraId="15ADA12E" w14:textId="77777777" w:rsidR="00987591" w:rsidRPr="00092C9F" w:rsidRDefault="00186CE3" w:rsidP="00D00498">
      <w:pPr>
        <w:spacing w:line="276" w:lineRule="auto"/>
        <w:jc w:val="both"/>
        <w:rPr>
          <w:b/>
          <w:lang w:val="en-GB"/>
        </w:rPr>
      </w:pPr>
      <w:proofErr w:type="spellStart"/>
      <w:r w:rsidRPr="00092C9F">
        <w:rPr>
          <w:lang w:val="en-GB"/>
        </w:rPr>
        <w:t>Kollmeyer</w:t>
      </w:r>
      <w:proofErr w:type="spellEnd"/>
      <w:r w:rsidRPr="00092C9F">
        <w:rPr>
          <w:lang w:val="en-GB"/>
        </w:rPr>
        <w:t>, C. (2009)</w:t>
      </w:r>
      <w:r w:rsidR="00987591" w:rsidRPr="00092C9F">
        <w:rPr>
          <w:lang w:val="en-GB"/>
        </w:rPr>
        <w:t>:</w:t>
      </w:r>
      <w:r w:rsidRPr="00092C9F">
        <w:rPr>
          <w:lang w:val="en-GB"/>
        </w:rPr>
        <w:t xml:space="preserve"> </w:t>
      </w:r>
      <w:r w:rsidRPr="00092C9F">
        <w:rPr>
          <w:b/>
          <w:lang w:val="en-GB"/>
        </w:rPr>
        <w:t>Consequences of North-South Trade for Affluent Countries</w:t>
      </w:r>
      <w:r w:rsidR="00987591" w:rsidRPr="00092C9F">
        <w:rPr>
          <w:lang w:val="en-GB"/>
        </w:rPr>
        <w:t>,</w:t>
      </w:r>
      <w:r w:rsidR="00987591" w:rsidRPr="00092C9F">
        <w:rPr>
          <w:b/>
          <w:lang w:val="en-GB"/>
        </w:rPr>
        <w:t xml:space="preserve"> </w:t>
      </w:r>
    </w:p>
    <w:p w14:paraId="0DD3502F" w14:textId="74665A93" w:rsidR="00186CE3" w:rsidRPr="00092C9F" w:rsidRDefault="00186CE3" w:rsidP="00D00498">
      <w:pPr>
        <w:spacing w:line="276" w:lineRule="auto"/>
        <w:ind w:firstLine="720"/>
        <w:jc w:val="both"/>
        <w:rPr>
          <w:lang w:val="en-GB"/>
        </w:rPr>
      </w:pPr>
      <w:r w:rsidRPr="00092C9F">
        <w:rPr>
          <w:b/>
          <w:i/>
          <w:lang w:val="en-GB"/>
        </w:rPr>
        <w:t>Review of International Political Econom</w:t>
      </w:r>
      <w:r w:rsidRPr="00092C9F">
        <w:rPr>
          <w:i/>
          <w:lang w:val="en-GB"/>
        </w:rPr>
        <w:t>y</w:t>
      </w:r>
      <w:r w:rsidRPr="00092C9F">
        <w:rPr>
          <w:lang w:val="en-GB"/>
        </w:rPr>
        <w:t>, 26</w:t>
      </w:r>
      <w:r w:rsidR="00987591" w:rsidRPr="00092C9F">
        <w:rPr>
          <w:lang w:val="en-GB"/>
        </w:rPr>
        <w:t xml:space="preserve">: </w:t>
      </w:r>
      <w:r w:rsidRPr="00092C9F">
        <w:rPr>
          <w:lang w:val="en-GB"/>
        </w:rPr>
        <w:t>803-826.</w:t>
      </w:r>
    </w:p>
    <w:p w14:paraId="5A5F7915" w14:textId="77777777" w:rsidR="00987591" w:rsidRPr="00092C9F" w:rsidRDefault="00186CE3" w:rsidP="00D00498">
      <w:pPr>
        <w:spacing w:line="276" w:lineRule="auto"/>
        <w:jc w:val="both"/>
        <w:rPr>
          <w:b/>
          <w:i/>
          <w:lang w:val="en-GB"/>
        </w:rPr>
      </w:pPr>
      <w:r w:rsidRPr="00092C9F">
        <w:rPr>
          <w:lang w:val="en-GB"/>
        </w:rPr>
        <w:t>Kravis, I. B. (1959)</w:t>
      </w:r>
      <w:r w:rsidR="00987591" w:rsidRPr="00092C9F">
        <w:rPr>
          <w:lang w:val="en-GB"/>
        </w:rPr>
        <w:t>:</w:t>
      </w:r>
      <w:r w:rsidRPr="00092C9F">
        <w:rPr>
          <w:lang w:val="en-GB"/>
        </w:rPr>
        <w:t xml:space="preserve"> </w:t>
      </w:r>
      <w:r w:rsidRPr="00092C9F">
        <w:rPr>
          <w:b/>
          <w:lang w:val="en-GB"/>
        </w:rPr>
        <w:t>Relative Income Shares in Fact and Theory</w:t>
      </w:r>
      <w:r w:rsidR="00987591" w:rsidRPr="00092C9F">
        <w:rPr>
          <w:lang w:val="en-GB"/>
        </w:rPr>
        <w:t>,</w:t>
      </w:r>
      <w:r w:rsidRPr="00092C9F">
        <w:rPr>
          <w:b/>
          <w:lang w:val="en-GB"/>
        </w:rPr>
        <w:t xml:space="preserve"> </w:t>
      </w:r>
      <w:r w:rsidRPr="00092C9F">
        <w:rPr>
          <w:b/>
          <w:i/>
          <w:lang w:val="en-GB"/>
        </w:rPr>
        <w:t xml:space="preserve">The American Economic </w:t>
      </w:r>
    </w:p>
    <w:p w14:paraId="7EB7E121" w14:textId="4612CD6C" w:rsidR="00186CE3" w:rsidRPr="00092C9F" w:rsidRDefault="00186CE3" w:rsidP="00D00498">
      <w:pPr>
        <w:spacing w:line="276" w:lineRule="auto"/>
        <w:ind w:firstLine="720"/>
        <w:jc w:val="both"/>
        <w:rPr>
          <w:lang w:val="en-GB"/>
        </w:rPr>
      </w:pPr>
      <w:r w:rsidRPr="00092C9F">
        <w:rPr>
          <w:b/>
          <w:i/>
          <w:lang w:val="en-GB"/>
        </w:rPr>
        <w:t>Review</w:t>
      </w:r>
      <w:r w:rsidRPr="00092C9F">
        <w:rPr>
          <w:lang w:val="en-GB"/>
        </w:rPr>
        <w:t>, 49</w:t>
      </w:r>
      <w:r w:rsidR="00987591" w:rsidRPr="00092C9F">
        <w:rPr>
          <w:lang w:val="en-GB"/>
        </w:rPr>
        <w:t xml:space="preserve">: </w:t>
      </w:r>
      <w:r w:rsidRPr="00092C9F">
        <w:rPr>
          <w:lang w:val="en-GB"/>
        </w:rPr>
        <w:t>917-949.</w:t>
      </w:r>
    </w:p>
    <w:p w14:paraId="6F44A8D2" w14:textId="36BABFF6" w:rsidR="00186CE3" w:rsidRPr="00092C9F" w:rsidRDefault="00186CE3" w:rsidP="00D00498">
      <w:pPr>
        <w:widowControl w:val="0"/>
        <w:spacing w:line="276" w:lineRule="auto"/>
        <w:jc w:val="both"/>
        <w:rPr>
          <w:color w:val="000000" w:themeColor="text1"/>
          <w:lang w:val="en-GB"/>
        </w:rPr>
      </w:pPr>
      <w:proofErr w:type="spellStart"/>
      <w:r w:rsidRPr="00092C9F">
        <w:rPr>
          <w:color w:val="000000" w:themeColor="text1"/>
          <w:lang w:val="en-GB"/>
        </w:rPr>
        <w:t>Lapavitsas</w:t>
      </w:r>
      <w:proofErr w:type="spellEnd"/>
      <w:r w:rsidRPr="00092C9F">
        <w:rPr>
          <w:color w:val="000000" w:themeColor="text1"/>
          <w:lang w:val="en-GB"/>
        </w:rPr>
        <w:t xml:space="preserve">, C., </w:t>
      </w:r>
      <w:proofErr w:type="spellStart"/>
      <w:r w:rsidRPr="00092C9F">
        <w:rPr>
          <w:color w:val="000000" w:themeColor="text1"/>
          <w:lang w:val="en-GB"/>
        </w:rPr>
        <w:t>Kaltenbrunner</w:t>
      </w:r>
      <w:proofErr w:type="spellEnd"/>
      <w:r w:rsidRPr="00092C9F">
        <w:rPr>
          <w:color w:val="000000" w:themeColor="text1"/>
          <w:lang w:val="en-GB"/>
        </w:rPr>
        <w:t xml:space="preserve">, A., </w:t>
      </w:r>
      <w:proofErr w:type="spellStart"/>
      <w:r w:rsidRPr="00092C9F">
        <w:rPr>
          <w:color w:val="000000" w:themeColor="text1"/>
          <w:lang w:val="en-GB"/>
        </w:rPr>
        <w:t>Labrinidis</w:t>
      </w:r>
      <w:proofErr w:type="spellEnd"/>
      <w:r w:rsidRPr="00092C9F">
        <w:rPr>
          <w:color w:val="000000" w:themeColor="text1"/>
          <w:lang w:val="en-GB"/>
        </w:rPr>
        <w:t xml:space="preserve">, D., Lindo, D., </w:t>
      </w:r>
      <w:proofErr w:type="spellStart"/>
      <w:r w:rsidRPr="00092C9F">
        <w:rPr>
          <w:color w:val="000000" w:themeColor="text1"/>
          <w:lang w:val="en-GB"/>
        </w:rPr>
        <w:t>Meadway</w:t>
      </w:r>
      <w:proofErr w:type="spellEnd"/>
      <w:r w:rsidRPr="00092C9F">
        <w:rPr>
          <w:color w:val="000000" w:themeColor="text1"/>
          <w:lang w:val="en-GB"/>
        </w:rPr>
        <w:t xml:space="preserve">, J., Michell, J, … </w:t>
      </w:r>
      <w:proofErr w:type="spellStart"/>
      <w:r w:rsidRPr="00092C9F">
        <w:rPr>
          <w:color w:val="000000" w:themeColor="text1"/>
          <w:lang w:val="en-GB"/>
        </w:rPr>
        <w:t>Vatikiotis</w:t>
      </w:r>
      <w:proofErr w:type="spellEnd"/>
      <w:r w:rsidRPr="00092C9F">
        <w:rPr>
          <w:color w:val="000000" w:themeColor="text1"/>
          <w:lang w:val="en-GB"/>
        </w:rPr>
        <w:t>, L. (2012)</w:t>
      </w:r>
      <w:r w:rsidR="00670630" w:rsidRPr="00092C9F">
        <w:rPr>
          <w:color w:val="000000" w:themeColor="text1"/>
          <w:lang w:val="en-GB"/>
        </w:rPr>
        <w:t>:</w:t>
      </w:r>
      <w:r w:rsidRPr="00092C9F">
        <w:rPr>
          <w:color w:val="000000" w:themeColor="text1"/>
          <w:lang w:val="en-GB"/>
        </w:rPr>
        <w:t xml:space="preserve"> </w:t>
      </w:r>
      <w:r w:rsidRPr="00092C9F">
        <w:rPr>
          <w:b/>
          <w:color w:val="000000" w:themeColor="text1"/>
          <w:lang w:val="en-GB"/>
        </w:rPr>
        <w:t>Crisis in the Eurozone</w:t>
      </w:r>
      <w:r w:rsidR="00670630" w:rsidRPr="00092C9F">
        <w:rPr>
          <w:color w:val="000000" w:themeColor="text1"/>
          <w:lang w:val="en-GB"/>
        </w:rPr>
        <w:t>,</w:t>
      </w:r>
      <w:r w:rsidRPr="00092C9F">
        <w:rPr>
          <w:color w:val="000000" w:themeColor="text1"/>
          <w:lang w:val="en-GB"/>
        </w:rPr>
        <w:t xml:space="preserve"> London: Verso.</w:t>
      </w:r>
    </w:p>
    <w:p w14:paraId="3A4FB19A" w14:textId="77777777" w:rsidR="00987591" w:rsidRPr="00092C9F" w:rsidRDefault="00186CE3" w:rsidP="00D00498">
      <w:pPr>
        <w:spacing w:line="276" w:lineRule="auto"/>
        <w:jc w:val="both"/>
        <w:rPr>
          <w:b/>
          <w:i/>
          <w:lang w:val="en-GB"/>
        </w:rPr>
      </w:pPr>
      <w:r w:rsidRPr="00092C9F">
        <w:rPr>
          <w:lang w:val="en-GB"/>
        </w:rPr>
        <w:t>Lewis, W. A. (1954)</w:t>
      </w:r>
      <w:r w:rsidR="00987591" w:rsidRPr="00092C9F">
        <w:rPr>
          <w:lang w:val="en-GB"/>
        </w:rPr>
        <w:t>:</w:t>
      </w:r>
      <w:r w:rsidRPr="00092C9F">
        <w:rPr>
          <w:lang w:val="en-GB"/>
        </w:rPr>
        <w:t xml:space="preserve"> </w:t>
      </w:r>
      <w:r w:rsidRPr="00092C9F">
        <w:rPr>
          <w:b/>
          <w:lang w:val="en-GB"/>
        </w:rPr>
        <w:t>Economic Development with Unlimited Supplies of Labour</w:t>
      </w:r>
      <w:r w:rsidR="00987591" w:rsidRPr="00092C9F">
        <w:rPr>
          <w:lang w:val="en-GB"/>
        </w:rPr>
        <w:t>,</w:t>
      </w:r>
      <w:r w:rsidRPr="00092C9F">
        <w:rPr>
          <w:b/>
          <w:lang w:val="en-GB"/>
        </w:rPr>
        <w:t xml:space="preserve"> </w:t>
      </w:r>
      <w:r w:rsidRPr="00092C9F">
        <w:rPr>
          <w:b/>
          <w:i/>
          <w:lang w:val="en-GB"/>
        </w:rPr>
        <w:t xml:space="preserve">The </w:t>
      </w:r>
    </w:p>
    <w:p w14:paraId="380D679E" w14:textId="248FC39A" w:rsidR="00186CE3" w:rsidRPr="00092C9F" w:rsidRDefault="00186CE3" w:rsidP="00D00498">
      <w:pPr>
        <w:spacing w:line="276" w:lineRule="auto"/>
        <w:ind w:firstLine="720"/>
        <w:jc w:val="both"/>
        <w:rPr>
          <w:lang w:val="en-GB"/>
        </w:rPr>
      </w:pPr>
      <w:r w:rsidRPr="00092C9F">
        <w:rPr>
          <w:b/>
          <w:i/>
          <w:lang w:val="en-GB"/>
        </w:rPr>
        <w:t>Manchester School</w:t>
      </w:r>
      <w:r w:rsidRPr="00092C9F">
        <w:rPr>
          <w:lang w:val="en-GB"/>
        </w:rPr>
        <w:t>, 22</w:t>
      </w:r>
      <w:r w:rsidR="00987591" w:rsidRPr="00092C9F">
        <w:rPr>
          <w:lang w:val="en-GB"/>
        </w:rPr>
        <w:t xml:space="preserve">: </w:t>
      </w:r>
      <w:r w:rsidRPr="00092C9F">
        <w:rPr>
          <w:lang w:val="en-GB"/>
        </w:rPr>
        <w:t>139-191.</w:t>
      </w:r>
    </w:p>
    <w:p w14:paraId="754CDE74" w14:textId="51111A18" w:rsidR="00186CE3" w:rsidRPr="00092C9F" w:rsidRDefault="00186CE3" w:rsidP="00D00498">
      <w:pPr>
        <w:widowControl w:val="0"/>
        <w:spacing w:line="276" w:lineRule="auto"/>
        <w:jc w:val="both"/>
        <w:rPr>
          <w:color w:val="000000" w:themeColor="text1"/>
          <w:lang w:val="en-GB"/>
        </w:rPr>
      </w:pPr>
      <w:r w:rsidRPr="00092C9F">
        <w:rPr>
          <w:color w:val="000000" w:themeColor="text1"/>
          <w:lang w:val="en-GB"/>
        </w:rPr>
        <w:t>Lichtenstein, P. M. (2016)</w:t>
      </w:r>
      <w:r w:rsidR="00670630" w:rsidRPr="00092C9F">
        <w:rPr>
          <w:color w:val="000000" w:themeColor="text1"/>
          <w:lang w:val="en-GB"/>
        </w:rPr>
        <w:t>:</w:t>
      </w:r>
      <w:r w:rsidRPr="00092C9F">
        <w:rPr>
          <w:color w:val="000000" w:themeColor="text1"/>
          <w:lang w:val="en-GB"/>
        </w:rPr>
        <w:t xml:space="preserve"> </w:t>
      </w:r>
      <w:r w:rsidRPr="00092C9F">
        <w:rPr>
          <w:b/>
          <w:color w:val="000000" w:themeColor="text1"/>
          <w:lang w:val="en-GB"/>
        </w:rPr>
        <w:t>Theories of International Economics</w:t>
      </w:r>
      <w:r w:rsidR="00670630" w:rsidRPr="00092C9F">
        <w:rPr>
          <w:color w:val="000000" w:themeColor="text1"/>
          <w:lang w:val="en-GB"/>
        </w:rPr>
        <w:t>,</w:t>
      </w:r>
      <w:r w:rsidRPr="00092C9F">
        <w:rPr>
          <w:color w:val="000000" w:themeColor="text1"/>
          <w:lang w:val="en-GB"/>
        </w:rPr>
        <w:t xml:space="preserve"> London: Routledge.</w:t>
      </w:r>
    </w:p>
    <w:p w14:paraId="045CFDF8" w14:textId="77777777" w:rsidR="00987591" w:rsidRPr="00092C9F" w:rsidRDefault="00186CE3" w:rsidP="00D00498">
      <w:pPr>
        <w:widowControl w:val="0"/>
        <w:spacing w:line="276" w:lineRule="auto"/>
        <w:jc w:val="both"/>
        <w:rPr>
          <w:b/>
          <w:color w:val="000000" w:themeColor="text1"/>
          <w:lang w:val="en-GB"/>
        </w:rPr>
      </w:pPr>
      <w:r w:rsidRPr="00092C9F">
        <w:rPr>
          <w:color w:val="000000" w:themeColor="text1"/>
          <w:lang w:val="en-GB"/>
        </w:rPr>
        <w:t>Love, J. L. (1980)</w:t>
      </w:r>
      <w:r w:rsidR="00987591" w:rsidRPr="00092C9F">
        <w:rPr>
          <w:color w:val="000000" w:themeColor="text1"/>
          <w:lang w:val="en-GB"/>
        </w:rPr>
        <w:t>:</w:t>
      </w:r>
      <w:r w:rsidRPr="00092C9F">
        <w:rPr>
          <w:color w:val="000000" w:themeColor="text1"/>
          <w:lang w:val="en-GB"/>
        </w:rPr>
        <w:t xml:space="preserve"> </w:t>
      </w:r>
      <w:r w:rsidRPr="00092C9F">
        <w:rPr>
          <w:b/>
          <w:color w:val="000000" w:themeColor="text1"/>
          <w:lang w:val="en-GB"/>
        </w:rPr>
        <w:t xml:space="preserve">Raul </w:t>
      </w:r>
      <w:proofErr w:type="spellStart"/>
      <w:r w:rsidRPr="00092C9F">
        <w:rPr>
          <w:b/>
          <w:color w:val="000000" w:themeColor="text1"/>
          <w:lang w:val="en-GB"/>
        </w:rPr>
        <w:t>Prebisch</w:t>
      </w:r>
      <w:proofErr w:type="spellEnd"/>
      <w:r w:rsidRPr="00092C9F">
        <w:rPr>
          <w:b/>
          <w:color w:val="000000" w:themeColor="text1"/>
          <w:lang w:val="en-GB"/>
        </w:rPr>
        <w:t xml:space="preserve"> and the Origins of the Doctrine of Unequal Exchange</w:t>
      </w:r>
      <w:r w:rsidR="00987591" w:rsidRPr="00092C9F">
        <w:rPr>
          <w:color w:val="000000" w:themeColor="text1"/>
          <w:lang w:val="en-GB"/>
        </w:rPr>
        <w:t>,</w:t>
      </w:r>
      <w:r w:rsidRPr="00092C9F">
        <w:rPr>
          <w:b/>
          <w:color w:val="000000" w:themeColor="text1"/>
          <w:lang w:val="en-GB"/>
        </w:rPr>
        <w:t xml:space="preserve"> </w:t>
      </w:r>
    </w:p>
    <w:p w14:paraId="20FF01FA" w14:textId="2704F5F8" w:rsidR="00186CE3" w:rsidRPr="00092C9F" w:rsidRDefault="00186CE3" w:rsidP="00D00498">
      <w:pPr>
        <w:widowControl w:val="0"/>
        <w:spacing w:line="276" w:lineRule="auto"/>
        <w:ind w:firstLine="720"/>
        <w:jc w:val="both"/>
        <w:rPr>
          <w:color w:val="000000" w:themeColor="text1"/>
          <w:lang w:val="en-GB"/>
        </w:rPr>
      </w:pPr>
      <w:r w:rsidRPr="00092C9F">
        <w:rPr>
          <w:b/>
          <w:i/>
          <w:color w:val="000000" w:themeColor="text1"/>
          <w:lang w:val="en-GB"/>
        </w:rPr>
        <w:t>Latin American Research Review</w:t>
      </w:r>
      <w:r w:rsidRPr="00092C9F">
        <w:rPr>
          <w:color w:val="000000" w:themeColor="text1"/>
          <w:lang w:val="en-GB"/>
        </w:rPr>
        <w:t>, 15</w:t>
      </w:r>
      <w:r w:rsidR="00987591" w:rsidRPr="00092C9F">
        <w:rPr>
          <w:color w:val="000000" w:themeColor="text1"/>
          <w:lang w:val="en-GB"/>
        </w:rPr>
        <w:t xml:space="preserve">: </w:t>
      </w:r>
      <w:r w:rsidRPr="00092C9F">
        <w:rPr>
          <w:color w:val="000000" w:themeColor="text1"/>
          <w:lang w:val="en-GB"/>
        </w:rPr>
        <w:t>45-72.</w:t>
      </w:r>
    </w:p>
    <w:p w14:paraId="6E476B69" w14:textId="77777777" w:rsidR="00987591" w:rsidRPr="00092C9F" w:rsidRDefault="00186CE3" w:rsidP="00D00498">
      <w:pPr>
        <w:widowControl w:val="0"/>
        <w:spacing w:line="276" w:lineRule="auto"/>
        <w:jc w:val="both"/>
        <w:rPr>
          <w:b/>
          <w:i/>
          <w:lang w:val="en-GB"/>
        </w:rPr>
      </w:pPr>
      <w:proofErr w:type="spellStart"/>
      <w:r w:rsidRPr="00092C9F">
        <w:rPr>
          <w:lang w:val="en-GB"/>
        </w:rPr>
        <w:t>Mariña</w:t>
      </w:r>
      <w:proofErr w:type="spellEnd"/>
      <w:r w:rsidRPr="00092C9F">
        <w:rPr>
          <w:lang w:val="en-GB"/>
        </w:rPr>
        <w:t>-Flores, A. (1998)</w:t>
      </w:r>
      <w:r w:rsidR="00987591" w:rsidRPr="00092C9F">
        <w:rPr>
          <w:lang w:val="en-GB"/>
        </w:rPr>
        <w:t>:</w:t>
      </w:r>
      <w:r w:rsidRPr="00092C9F">
        <w:rPr>
          <w:lang w:val="en-GB"/>
        </w:rPr>
        <w:t xml:space="preserve"> </w:t>
      </w:r>
      <w:r w:rsidRPr="00092C9F">
        <w:rPr>
          <w:b/>
          <w:lang w:val="en-GB"/>
        </w:rPr>
        <w:t>Market Price of Production</w:t>
      </w:r>
      <w:r w:rsidR="00987591" w:rsidRPr="00092C9F">
        <w:rPr>
          <w:lang w:val="en-GB"/>
        </w:rPr>
        <w:t>,</w:t>
      </w:r>
      <w:r w:rsidRPr="00092C9F">
        <w:rPr>
          <w:b/>
          <w:lang w:val="en-GB"/>
        </w:rPr>
        <w:t xml:space="preserve"> </w:t>
      </w:r>
      <w:r w:rsidRPr="00092C9F">
        <w:rPr>
          <w:b/>
          <w:i/>
          <w:lang w:val="en-GB"/>
        </w:rPr>
        <w:t xml:space="preserve">International Journal of Political </w:t>
      </w:r>
    </w:p>
    <w:p w14:paraId="71FB94C8" w14:textId="15B8D170" w:rsidR="00186CE3" w:rsidRPr="00092C9F" w:rsidRDefault="00186CE3" w:rsidP="00D00498">
      <w:pPr>
        <w:widowControl w:val="0"/>
        <w:spacing w:line="276" w:lineRule="auto"/>
        <w:ind w:firstLine="720"/>
        <w:jc w:val="both"/>
        <w:rPr>
          <w:lang w:val="en-GB"/>
        </w:rPr>
      </w:pPr>
      <w:r w:rsidRPr="00092C9F">
        <w:rPr>
          <w:b/>
          <w:i/>
          <w:lang w:val="en-GB"/>
        </w:rPr>
        <w:t>Economy</w:t>
      </w:r>
      <w:r w:rsidR="00987591" w:rsidRPr="00092C9F">
        <w:rPr>
          <w:i/>
          <w:lang w:val="en-GB"/>
        </w:rPr>
        <w:t>,</w:t>
      </w:r>
      <w:r w:rsidRPr="00092C9F">
        <w:rPr>
          <w:b/>
          <w:lang w:val="en-GB"/>
        </w:rPr>
        <w:t xml:space="preserve"> </w:t>
      </w:r>
      <w:r w:rsidRPr="00092C9F">
        <w:rPr>
          <w:lang w:val="en-GB"/>
        </w:rPr>
        <w:t>28: 82-118.</w:t>
      </w:r>
    </w:p>
    <w:p w14:paraId="7F00EE56" w14:textId="77777777" w:rsidR="009F52BB" w:rsidRPr="00092C9F" w:rsidRDefault="00186CE3" w:rsidP="00D00498">
      <w:pPr>
        <w:autoSpaceDE w:val="0"/>
        <w:autoSpaceDN w:val="0"/>
        <w:adjustRightInd w:val="0"/>
        <w:spacing w:line="276" w:lineRule="auto"/>
        <w:jc w:val="both"/>
        <w:rPr>
          <w:lang w:val="en-GB"/>
        </w:rPr>
      </w:pPr>
      <w:r w:rsidRPr="00092C9F">
        <w:rPr>
          <w:lang w:val="en-GB"/>
        </w:rPr>
        <w:t xml:space="preserve">Marx, K. (1847) </w:t>
      </w:r>
      <w:r w:rsidRPr="00092C9F">
        <w:rPr>
          <w:b/>
          <w:lang w:val="en-GB"/>
        </w:rPr>
        <w:t>Wage Labour and Capital</w:t>
      </w:r>
      <w:r w:rsidR="009F52BB" w:rsidRPr="00092C9F">
        <w:rPr>
          <w:lang w:val="en-GB"/>
        </w:rPr>
        <w:t>,</w:t>
      </w:r>
      <w:r w:rsidRPr="00092C9F">
        <w:rPr>
          <w:lang w:val="en-GB"/>
        </w:rPr>
        <w:t xml:space="preserve"> </w:t>
      </w:r>
    </w:p>
    <w:p w14:paraId="5B87A900" w14:textId="5B78E1FF" w:rsidR="00186CE3" w:rsidRPr="00092C9F" w:rsidRDefault="009F52BB" w:rsidP="00D00498">
      <w:pPr>
        <w:autoSpaceDE w:val="0"/>
        <w:autoSpaceDN w:val="0"/>
        <w:adjustRightInd w:val="0"/>
        <w:spacing w:line="276" w:lineRule="auto"/>
        <w:ind w:left="720"/>
        <w:jc w:val="both"/>
        <w:rPr>
          <w:color w:val="000000" w:themeColor="text1"/>
        </w:rPr>
      </w:pPr>
      <w:r w:rsidRPr="00092C9F">
        <w:rPr>
          <w:lang w:val="en-GB"/>
        </w:rPr>
        <w:t xml:space="preserve">https://www.marxists.org/archive/marx/works/download/pdf/wage-labour-capital.pdf </w:t>
      </w:r>
      <w:r w:rsidRPr="00092C9F">
        <w:rPr>
          <w:rStyle w:val="Hyperlink"/>
          <w:color w:val="000000" w:themeColor="text1"/>
          <w:u w:val="none"/>
        </w:rPr>
        <w:t>[Accessed 07.01.2011]</w:t>
      </w:r>
      <w:r w:rsidRPr="00092C9F">
        <w:rPr>
          <w:color w:val="000000" w:themeColor="text1"/>
        </w:rPr>
        <w:t>.</w:t>
      </w:r>
    </w:p>
    <w:p w14:paraId="7E6B5803" w14:textId="6D8E3351" w:rsidR="00186CE3" w:rsidRPr="00092C9F" w:rsidRDefault="00186CE3" w:rsidP="00D00498">
      <w:pPr>
        <w:spacing w:line="276" w:lineRule="auto"/>
        <w:jc w:val="both"/>
        <w:rPr>
          <w:lang w:val="en-GB"/>
        </w:rPr>
      </w:pPr>
      <w:r w:rsidRPr="00092C9F">
        <w:rPr>
          <w:lang w:val="en-GB"/>
        </w:rPr>
        <w:t>Marx, K. (1971)</w:t>
      </w:r>
      <w:r w:rsidR="00670630" w:rsidRPr="00092C9F">
        <w:rPr>
          <w:lang w:val="en-GB"/>
        </w:rPr>
        <w:t>:</w:t>
      </w:r>
      <w:r w:rsidRPr="00092C9F">
        <w:rPr>
          <w:lang w:val="en-GB"/>
        </w:rPr>
        <w:t xml:space="preserve"> </w:t>
      </w:r>
      <w:r w:rsidRPr="00092C9F">
        <w:rPr>
          <w:b/>
          <w:lang w:val="en-GB"/>
        </w:rPr>
        <w:t>Theories of Surplus Value Part III</w:t>
      </w:r>
      <w:r w:rsidR="00670630" w:rsidRPr="00092C9F">
        <w:rPr>
          <w:lang w:val="en-GB"/>
        </w:rPr>
        <w:t>,</w:t>
      </w:r>
      <w:r w:rsidRPr="00092C9F">
        <w:rPr>
          <w:lang w:val="en-GB"/>
        </w:rPr>
        <w:t xml:space="preserve"> Moscow: Progress.</w:t>
      </w:r>
    </w:p>
    <w:p w14:paraId="771C6452" w14:textId="1E975853" w:rsidR="00186CE3" w:rsidRPr="00092C9F" w:rsidRDefault="00186CE3" w:rsidP="00D00498">
      <w:pPr>
        <w:widowControl w:val="0"/>
        <w:spacing w:line="276" w:lineRule="auto"/>
        <w:jc w:val="both"/>
        <w:rPr>
          <w:lang w:val="en-GB"/>
        </w:rPr>
      </w:pPr>
      <w:r w:rsidRPr="00092C9F">
        <w:rPr>
          <w:lang w:val="en-GB"/>
        </w:rPr>
        <w:t>Marx, K. (1992)</w:t>
      </w:r>
      <w:r w:rsidR="00670630" w:rsidRPr="00092C9F">
        <w:rPr>
          <w:lang w:val="en-GB"/>
        </w:rPr>
        <w:t>:</w:t>
      </w:r>
      <w:r w:rsidRPr="00092C9F">
        <w:rPr>
          <w:lang w:val="en-GB"/>
        </w:rPr>
        <w:t xml:space="preserve"> </w:t>
      </w:r>
      <w:r w:rsidRPr="00092C9F">
        <w:rPr>
          <w:b/>
          <w:lang w:val="en-GB"/>
        </w:rPr>
        <w:t>Capital Volume 1</w:t>
      </w:r>
      <w:r w:rsidR="00670630" w:rsidRPr="00092C9F">
        <w:rPr>
          <w:lang w:val="en-GB"/>
        </w:rPr>
        <w:t>,</w:t>
      </w:r>
      <w:r w:rsidRPr="00092C9F">
        <w:rPr>
          <w:lang w:val="en-GB"/>
        </w:rPr>
        <w:t xml:space="preserve"> London: Penguin Press.</w:t>
      </w:r>
    </w:p>
    <w:p w14:paraId="17419A19" w14:textId="1A02219B" w:rsidR="00186CE3" w:rsidRPr="00092C9F" w:rsidRDefault="00186CE3" w:rsidP="00D00498">
      <w:pPr>
        <w:spacing w:line="276" w:lineRule="auto"/>
        <w:jc w:val="both"/>
        <w:rPr>
          <w:lang w:val="en-GB"/>
        </w:rPr>
      </w:pPr>
      <w:r w:rsidRPr="00092C9F">
        <w:rPr>
          <w:lang w:val="en-GB"/>
        </w:rPr>
        <w:t>Marx, K. (1992b)</w:t>
      </w:r>
      <w:r w:rsidR="00670630" w:rsidRPr="00092C9F">
        <w:rPr>
          <w:lang w:val="en-GB"/>
        </w:rPr>
        <w:t>:</w:t>
      </w:r>
      <w:r w:rsidRPr="00092C9F">
        <w:rPr>
          <w:lang w:val="en-GB"/>
        </w:rPr>
        <w:t xml:space="preserve"> </w:t>
      </w:r>
      <w:r w:rsidRPr="00092C9F">
        <w:rPr>
          <w:b/>
          <w:lang w:val="en-GB"/>
        </w:rPr>
        <w:t>Capital Volume 2</w:t>
      </w:r>
      <w:r w:rsidR="00670630" w:rsidRPr="00092C9F">
        <w:rPr>
          <w:lang w:val="en-GB"/>
        </w:rPr>
        <w:t>,</w:t>
      </w:r>
      <w:r w:rsidRPr="00092C9F">
        <w:rPr>
          <w:lang w:val="en-GB"/>
        </w:rPr>
        <w:t xml:space="preserve"> London: Penguin Press.</w:t>
      </w:r>
    </w:p>
    <w:p w14:paraId="4AC171BF" w14:textId="6DE6FF38" w:rsidR="00186CE3" w:rsidRPr="00092C9F" w:rsidRDefault="00186CE3" w:rsidP="00D00498">
      <w:pPr>
        <w:widowControl w:val="0"/>
        <w:spacing w:line="276" w:lineRule="auto"/>
        <w:jc w:val="both"/>
        <w:rPr>
          <w:lang w:val="en-GB"/>
        </w:rPr>
      </w:pPr>
      <w:proofErr w:type="spellStart"/>
      <w:r w:rsidRPr="00092C9F">
        <w:rPr>
          <w:rFonts w:eastAsiaTheme="minorHAnsi"/>
          <w:color w:val="000000" w:themeColor="text1"/>
          <w:lang w:val="en-GB"/>
        </w:rPr>
        <w:t>Milanović</w:t>
      </w:r>
      <w:proofErr w:type="spellEnd"/>
      <w:r w:rsidRPr="00092C9F">
        <w:rPr>
          <w:rFonts w:eastAsiaTheme="minorHAnsi"/>
          <w:color w:val="000000" w:themeColor="text1"/>
          <w:lang w:val="en-GB"/>
        </w:rPr>
        <w:t>, B.</w:t>
      </w:r>
      <w:r w:rsidRPr="00092C9F">
        <w:t xml:space="preserve"> (2016)</w:t>
      </w:r>
      <w:r w:rsidR="00670630" w:rsidRPr="00092C9F">
        <w:t>:</w:t>
      </w:r>
      <w:r w:rsidRPr="00092C9F">
        <w:t xml:space="preserve"> </w:t>
      </w:r>
      <w:r w:rsidRPr="00092C9F">
        <w:rPr>
          <w:b/>
        </w:rPr>
        <w:t>Global Inequality</w:t>
      </w:r>
      <w:r w:rsidRPr="00092C9F">
        <w:t>, London: Harvard University Press.</w:t>
      </w:r>
    </w:p>
    <w:p w14:paraId="7A357CDB" w14:textId="772388F4" w:rsidR="00186CE3" w:rsidRPr="00092C9F" w:rsidRDefault="00186CE3" w:rsidP="00092C9F">
      <w:pPr>
        <w:widowControl w:val="0"/>
        <w:spacing w:line="276" w:lineRule="auto"/>
        <w:jc w:val="both"/>
        <w:rPr>
          <w:lang w:val="en-GB"/>
        </w:rPr>
      </w:pPr>
      <w:proofErr w:type="spellStart"/>
      <w:r w:rsidRPr="00092C9F">
        <w:rPr>
          <w:lang w:val="en-GB"/>
        </w:rPr>
        <w:t>Morishima</w:t>
      </w:r>
      <w:proofErr w:type="spellEnd"/>
      <w:r w:rsidRPr="00092C9F">
        <w:rPr>
          <w:lang w:val="en-GB"/>
        </w:rPr>
        <w:t>, M. (1973)</w:t>
      </w:r>
      <w:r w:rsidR="00670630" w:rsidRPr="00092C9F">
        <w:rPr>
          <w:lang w:val="en-GB"/>
        </w:rPr>
        <w:t>:</w:t>
      </w:r>
      <w:r w:rsidRPr="00092C9F">
        <w:rPr>
          <w:lang w:val="en-GB"/>
        </w:rPr>
        <w:t xml:space="preserve"> </w:t>
      </w:r>
      <w:r w:rsidRPr="00092C9F">
        <w:rPr>
          <w:b/>
          <w:lang w:val="en-GB"/>
        </w:rPr>
        <w:t>Marx’s Economics</w:t>
      </w:r>
      <w:r w:rsidRPr="00092C9F">
        <w:rPr>
          <w:i/>
          <w:lang w:val="en-GB"/>
        </w:rPr>
        <w:t>,</w:t>
      </w:r>
      <w:r w:rsidR="00092C9F" w:rsidRPr="00092C9F">
        <w:rPr>
          <w:i/>
          <w:lang w:val="en-GB"/>
        </w:rPr>
        <w:t xml:space="preserve"> </w:t>
      </w:r>
      <w:r w:rsidRPr="00092C9F">
        <w:rPr>
          <w:lang w:val="en-GB"/>
        </w:rPr>
        <w:t>Cambridge: Cambridge University Press.</w:t>
      </w:r>
    </w:p>
    <w:p w14:paraId="0AF3B9B1" w14:textId="77777777" w:rsidR="00BE6FFE" w:rsidRPr="00092C9F" w:rsidRDefault="00186CE3" w:rsidP="00D00498">
      <w:pPr>
        <w:spacing w:line="276" w:lineRule="auto"/>
        <w:jc w:val="both"/>
        <w:rPr>
          <w:lang w:val="en-GB"/>
        </w:rPr>
      </w:pPr>
      <w:r w:rsidRPr="00092C9F">
        <w:rPr>
          <w:lang w:val="en-GB"/>
        </w:rPr>
        <w:t>Nayyar, D. (2007)</w:t>
      </w:r>
      <w:r w:rsidR="00BE6FFE" w:rsidRPr="00092C9F">
        <w:rPr>
          <w:lang w:val="en-GB"/>
        </w:rPr>
        <w:t>:</w:t>
      </w:r>
      <w:r w:rsidRPr="00092C9F">
        <w:rPr>
          <w:lang w:val="en-GB"/>
        </w:rPr>
        <w:t xml:space="preserve"> </w:t>
      </w:r>
      <w:r w:rsidRPr="00092C9F">
        <w:rPr>
          <w:b/>
          <w:lang w:val="en-GB"/>
        </w:rPr>
        <w:t>Globalization and free trade: theory, history, and reality</w:t>
      </w:r>
      <w:r w:rsidR="00BE6FFE" w:rsidRPr="00092C9F">
        <w:rPr>
          <w:lang w:val="en-GB"/>
        </w:rPr>
        <w:t>,</w:t>
      </w:r>
      <w:r w:rsidRPr="00092C9F">
        <w:rPr>
          <w:lang w:val="en-GB"/>
        </w:rPr>
        <w:t xml:space="preserve"> In Shaikh, </w:t>
      </w:r>
    </w:p>
    <w:p w14:paraId="7103E0E8" w14:textId="15BBB790" w:rsidR="00186CE3" w:rsidRPr="00092C9F" w:rsidRDefault="00186CE3" w:rsidP="00D00498">
      <w:pPr>
        <w:spacing w:line="276" w:lineRule="auto"/>
        <w:ind w:left="720"/>
        <w:jc w:val="both"/>
        <w:rPr>
          <w:lang w:val="en-GB"/>
        </w:rPr>
      </w:pPr>
      <w:r w:rsidRPr="00092C9F">
        <w:rPr>
          <w:lang w:val="en-GB"/>
        </w:rPr>
        <w:t>A.</w:t>
      </w:r>
      <w:r w:rsidR="00BE6FFE" w:rsidRPr="00092C9F">
        <w:rPr>
          <w:lang w:val="en-GB"/>
        </w:rPr>
        <w:t>, e</w:t>
      </w:r>
      <w:r w:rsidRPr="00092C9F">
        <w:rPr>
          <w:lang w:val="en-GB"/>
        </w:rPr>
        <w:t>d.</w:t>
      </w:r>
      <w:r w:rsidR="00BE6FFE" w:rsidRPr="00092C9F">
        <w:rPr>
          <w:lang w:val="en-GB"/>
        </w:rPr>
        <w:t>:</w:t>
      </w:r>
      <w:r w:rsidRPr="00092C9F">
        <w:rPr>
          <w:lang w:val="en-GB"/>
        </w:rPr>
        <w:t xml:space="preserve"> </w:t>
      </w:r>
      <w:r w:rsidRPr="00092C9F">
        <w:rPr>
          <w:b/>
          <w:i/>
          <w:lang w:val="en-GB"/>
        </w:rPr>
        <w:t>Globalization and the myths of free trade</w:t>
      </w:r>
      <w:r w:rsidR="00BE6FFE" w:rsidRPr="00092C9F">
        <w:rPr>
          <w:lang w:val="en-GB"/>
        </w:rPr>
        <w:t xml:space="preserve">, </w:t>
      </w:r>
      <w:r w:rsidRPr="00092C9F">
        <w:rPr>
          <w:lang w:val="en-GB"/>
        </w:rPr>
        <w:t xml:space="preserve">New York: Routledge. </w:t>
      </w:r>
    </w:p>
    <w:p w14:paraId="27A9220F" w14:textId="77777777" w:rsidR="00670630" w:rsidRPr="00092C9F" w:rsidRDefault="00186CE3" w:rsidP="00D00498">
      <w:pPr>
        <w:autoSpaceDE w:val="0"/>
        <w:autoSpaceDN w:val="0"/>
        <w:adjustRightInd w:val="0"/>
        <w:spacing w:line="276" w:lineRule="auto"/>
        <w:jc w:val="both"/>
        <w:rPr>
          <w:rFonts w:eastAsiaTheme="minorHAnsi"/>
          <w:szCs w:val="18"/>
          <w:lang w:val="en-GB"/>
        </w:rPr>
      </w:pPr>
      <w:r w:rsidRPr="00092C9F">
        <w:rPr>
          <w:rFonts w:eastAsiaTheme="minorHAnsi"/>
          <w:szCs w:val="18"/>
          <w:lang w:val="en-GB"/>
        </w:rPr>
        <w:t>Ohlin, B. (1933)</w:t>
      </w:r>
      <w:r w:rsidR="00670630" w:rsidRPr="00092C9F">
        <w:rPr>
          <w:rFonts w:eastAsiaTheme="minorHAnsi"/>
          <w:szCs w:val="18"/>
          <w:lang w:val="en-GB"/>
        </w:rPr>
        <w:t>:</w:t>
      </w:r>
      <w:r w:rsidRPr="00092C9F">
        <w:rPr>
          <w:rFonts w:eastAsiaTheme="minorHAnsi"/>
          <w:szCs w:val="18"/>
          <w:lang w:val="en-GB"/>
        </w:rPr>
        <w:t xml:space="preserve"> </w:t>
      </w:r>
      <w:r w:rsidRPr="00092C9F">
        <w:rPr>
          <w:rFonts w:eastAsiaTheme="minorHAnsi"/>
          <w:b/>
          <w:szCs w:val="18"/>
          <w:lang w:val="en-GB"/>
        </w:rPr>
        <w:t>Interregional and International Trade</w:t>
      </w:r>
      <w:r w:rsidRPr="00092C9F">
        <w:rPr>
          <w:rFonts w:eastAsiaTheme="minorHAnsi"/>
          <w:szCs w:val="18"/>
          <w:lang w:val="en-GB"/>
        </w:rPr>
        <w:t xml:space="preserve">, Cambridge: Harvard University </w:t>
      </w:r>
    </w:p>
    <w:p w14:paraId="3CD80E28" w14:textId="3ADF6818" w:rsidR="00186CE3" w:rsidRPr="00092C9F" w:rsidRDefault="00186CE3" w:rsidP="00D00498">
      <w:pPr>
        <w:autoSpaceDE w:val="0"/>
        <w:autoSpaceDN w:val="0"/>
        <w:adjustRightInd w:val="0"/>
        <w:spacing w:line="276" w:lineRule="auto"/>
        <w:ind w:firstLine="720"/>
        <w:jc w:val="both"/>
        <w:rPr>
          <w:rFonts w:eastAsiaTheme="minorHAnsi"/>
          <w:szCs w:val="18"/>
          <w:lang w:val="en-GB"/>
        </w:rPr>
      </w:pPr>
      <w:r w:rsidRPr="00092C9F">
        <w:rPr>
          <w:rFonts w:eastAsiaTheme="minorHAnsi"/>
          <w:szCs w:val="18"/>
          <w:lang w:val="en-GB"/>
        </w:rPr>
        <w:t>Press.</w:t>
      </w:r>
    </w:p>
    <w:p w14:paraId="47A3E155" w14:textId="60E0538D" w:rsidR="00186CE3" w:rsidRPr="00092C9F" w:rsidRDefault="00186CE3" w:rsidP="00D00498">
      <w:pPr>
        <w:autoSpaceDE w:val="0"/>
        <w:autoSpaceDN w:val="0"/>
        <w:adjustRightInd w:val="0"/>
        <w:spacing w:line="276" w:lineRule="auto"/>
        <w:jc w:val="both"/>
      </w:pPr>
      <w:r w:rsidRPr="00092C9F">
        <w:t>Piketty, T. (2014)</w:t>
      </w:r>
      <w:r w:rsidR="00670630" w:rsidRPr="00092C9F">
        <w:t>:</w:t>
      </w:r>
      <w:r w:rsidRPr="00092C9F">
        <w:t xml:space="preserve"> </w:t>
      </w:r>
      <w:r w:rsidRPr="00092C9F">
        <w:rPr>
          <w:b/>
        </w:rPr>
        <w:t>Capital in the Twenty-First Century</w:t>
      </w:r>
      <w:r w:rsidRPr="00092C9F">
        <w:t>, London: Harvard University Press.</w:t>
      </w:r>
    </w:p>
    <w:p w14:paraId="09AED7E8" w14:textId="77777777" w:rsidR="00670630" w:rsidRPr="00092C9F" w:rsidRDefault="00186CE3" w:rsidP="00D00498">
      <w:pPr>
        <w:spacing w:line="276" w:lineRule="auto"/>
        <w:jc w:val="both"/>
        <w:rPr>
          <w:b/>
          <w:i/>
          <w:lang w:val="en-GB"/>
        </w:rPr>
      </w:pPr>
      <w:proofErr w:type="spellStart"/>
      <w:r w:rsidRPr="00092C9F">
        <w:rPr>
          <w:lang w:val="en-GB"/>
        </w:rPr>
        <w:t>Prebisch</w:t>
      </w:r>
      <w:proofErr w:type="spellEnd"/>
      <w:r w:rsidRPr="00092C9F">
        <w:rPr>
          <w:lang w:val="en-GB"/>
        </w:rPr>
        <w:t>, R. (1950)</w:t>
      </w:r>
      <w:r w:rsidR="00670630" w:rsidRPr="00092C9F">
        <w:rPr>
          <w:lang w:val="en-GB"/>
        </w:rPr>
        <w:t>:</w:t>
      </w:r>
      <w:r w:rsidRPr="00092C9F">
        <w:rPr>
          <w:i/>
          <w:lang w:val="en-GB"/>
        </w:rPr>
        <w:t xml:space="preserve"> </w:t>
      </w:r>
      <w:r w:rsidRPr="00092C9F">
        <w:rPr>
          <w:b/>
          <w:i/>
          <w:lang w:val="en-GB"/>
        </w:rPr>
        <w:t xml:space="preserve">The Economic Development of Latin America and its Principal </w:t>
      </w:r>
    </w:p>
    <w:p w14:paraId="75085AAF" w14:textId="1E8C5BEA" w:rsidR="00186CE3" w:rsidRPr="00092C9F" w:rsidRDefault="00186CE3" w:rsidP="00D00498">
      <w:pPr>
        <w:spacing w:line="276" w:lineRule="auto"/>
        <w:ind w:firstLine="720"/>
        <w:jc w:val="both"/>
        <w:rPr>
          <w:lang w:val="en-GB"/>
        </w:rPr>
      </w:pPr>
      <w:r w:rsidRPr="00092C9F">
        <w:rPr>
          <w:b/>
          <w:i/>
          <w:lang w:val="en-GB"/>
        </w:rPr>
        <w:t>Problems</w:t>
      </w:r>
      <w:r w:rsidRPr="00092C9F">
        <w:rPr>
          <w:lang w:val="en-GB"/>
        </w:rPr>
        <w:t>, New York: United Nations Publication.</w:t>
      </w:r>
    </w:p>
    <w:p w14:paraId="21F98CC9" w14:textId="77777777" w:rsidR="00670630" w:rsidRPr="00092C9F" w:rsidRDefault="00186CE3" w:rsidP="00D00498">
      <w:pPr>
        <w:widowControl w:val="0"/>
        <w:spacing w:line="276" w:lineRule="auto"/>
        <w:jc w:val="both"/>
        <w:rPr>
          <w:rStyle w:val="shorttext"/>
          <w:b/>
          <w:lang w:val="en-GB"/>
        </w:rPr>
      </w:pPr>
      <w:proofErr w:type="spellStart"/>
      <w:r w:rsidRPr="00092C9F">
        <w:rPr>
          <w:rStyle w:val="shorttext"/>
          <w:lang w:val="en-GB"/>
        </w:rPr>
        <w:t>Raffer</w:t>
      </w:r>
      <w:proofErr w:type="spellEnd"/>
      <w:r w:rsidRPr="00092C9F">
        <w:rPr>
          <w:rStyle w:val="shorttext"/>
          <w:lang w:val="en-GB"/>
        </w:rPr>
        <w:t>, K. (1987)</w:t>
      </w:r>
      <w:r w:rsidR="00670630" w:rsidRPr="00092C9F">
        <w:rPr>
          <w:rStyle w:val="shorttext"/>
          <w:lang w:val="en-GB"/>
        </w:rPr>
        <w:t>:</w:t>
      </w:r>
      <w:r w:rsidRPr="00092C9F">
        <w:rPr>
          <w:rStyle w:val="shorttext"/>
          <w:lang w:val="en-GB"/>
        </w:rPr>
        <w:t xml:space="preserve"> </w:t>
      </w:r>
      <w:r w:rsidRPr="00092C9F">
        <w:rPr>
          <w:rStyle w:val="shorttext"/>
          <w:b/>
          <w:lang w:val="en-GB"/>
        </w:rPr>
        <w:t xml:space="preserve">Unequal Exchange and the Evolution of the World System: </w:t>
      </w:r>
    </w:p>
    <w:p w14:paraId="5C8BDF7D" w14:textId="139DA617" w:rsidR="00186CE3" w:rsidRPr="00092C9F" w:rsidRDefault="00186CE3" w:rsidP="00D00498">
      <w:pPr>
        <w:widowControl w:val="0"/>
        <w:spacing w:line="276" w:lineRule="auto"/>
        <w:ind w:left="720"/>
        <w:jc w:val="both"/>
        <w:rPr>
          <w:rStyle w:val="shorttext"/>
          <w:lang w:val="en-GB"/>
        </w:rPr>
      </w:pPr>
      <w:r w:rsidRPr="00092C9F">
        <w:rPr>
          <w:rStyle w:val="shorttext"/>
          <w:b/>
          <w:lang w:val="en-GB"/>
        </w:rPr>
        <w:lastRenderedPageBreak/>
        <w:t>Reconsidering the Impact of Trade on North-South Relations</w:t>
      </w:r>
      <w:r w:rsidR="00670630" w:rsidRPr="00092C9F">
        <w:rPr>
          <w:rStyle w:val="shorttext"/>
          <w:lang w:val="en-GB"/>
        </w:rPr>
        <w:t>,</w:t>
      </w:r>
      <w:r w:rsidRPr="00092C9F">
        <w:rPr>
          <w:rStyle w:val="shorttext"/>
          <w:lang w:val="en-GB"/>
        </w:rPr>
        <w:t xml:space="preserve"> New York: </w:t>
      </w:r>
      <w:proofErr w:type="spellStart"/>
      <w:r w:rsidRPr="00092C9F">
        <w:rPr>
          <w:rStyle w:val="shorttext"/>
          <w:lang w:val="en-GB"/>
        </w:rPr>
        <w:t>Pagrave</w:t>
      </w:r>
      <w:proofErr w:type="spellEnd"/>
      <w:r w:rsidRPr="00092C9F">
        <w:rPr>
          <w:rStyle w:val="shorttext"/>
          <w:lang w:val="en-GB"/>
        </w:rPr>
        <w:t xml:space="preserve"> Macmillan.</w:t>
      </w:r>
    </w:p>
    <w:p w14:paraId="7D7EF1FA" w14:textId="77777777" w:rsidR="00987591" w:rsidRPr="00092C9F" w:rsidRDefault="00186CE3" w:rsidP="00D00498">
      <w:pPr>
        <w:widowControl w:val="0"/>
        <w:spacing w:line="276" w:lineRule="auto"/>
        <w:jc w:val="both"/>
        <w:rPr>
          <w:b/>
          <w:i/>
          <w:color w:val="000000" w:themeColor="text1"/>
          <w:lang w:val="en-GB"/>
        </w:rPr>
      </w:pPr>
      <w:r w:rsidRPr="00092C9F">
        <w:rPr>
          <w:color w:val="000000" w:themeColor="text1"/>
          <w:lang w:val="en-GB"/>
        </w:rPr>
        <w:t>Ricci, A. (2018)</w:t>
      </w:r>
      <w:r w:rsidR="00987591" w:rsidRPr="00092C9F">
        <w:rPr>
          <w:color w:val="000000" w:themeColor="text1"/>
          <w:lang w:val="en-GB"/>
        </w:rPr>
        <w:t>:</w:t>
      </w:r>
      <w:r w:rsidRPr="00092C9F">
        <w:rPr>
          <w:color w:val="000000" w:themeColor="text1"/>
          <w:lang w:val="en-GB"/>
        </w:rPr>
        <w:t xml:space="preserve"> </w:t>
      </w:r>
      <w:r w:rsidRPr="00092C9F">
        <w:rPr>
          <w:b/>
          <w:color w:val="000000" w:themeColor="text1"/>
          <w:lang w:val="en-GB"/>
        </w:rPr>
        <w:t>Unequal Exchange in the Age of Globalization</w:t>
      </w:r>
      <w:r w:rsidR="00987591" w:rsidRPr="00092C9F">
        <w:rPr>
          <w:color w:val="000000" w:themeColor="text1"/>
          <w:lang w:val="en-GB"/>
        </w:rPr>
        <w:t>,</w:t>
      </w:r>
      <w:r w:rsidRPr="00092C9F">
        <w:rPr>
          <w:b/>
          <w:color w:val="000000" w:themeColor="text1"/>
          <w:lang w:val="en-GB"/>
        </w:rPr>
        <w:t xml:space="preserve"> </w:t>
      </w:r>
      <w:r w:rsidRPr="00092C9F">
        <w:rPr>
          <w:b/>
          <w:i/>
          <w:color w:val="000000" w:themeColor="text1"/>
          <w:lang w:val="en-GB"/>
        </w:rPr>
        <w:t xml:space="preserve">Review of Radical </w:t>
      </w:r>
    </w:p>
    <w:p w14:paraId="7D09983F" w14:textId="073B0016" w:rsidR="00186CE3" w:rsidRPr="00092C9F" w:rsidRDefault="00186CE3" w:rsidP="00D00498">
      <w:pPr>
        <w:widowControl w:val="0"/>
        <w:spacing w:line="276" w:lineRule="auto"/>
        <w:ind w:firstLine="720"/>
        <w:jc w:val="both"/>
        <w:rPr>
          <w:color w:val="000000" w:themeColor="text1"/>
          <w:lang w:val="en-GB"/>
        </w:rPr>
      </w:pPr>
      <w:r w:rsidRPr="00092C9F">
        <w:rPr>
          <w:b/>
          <w:i/>
          <w:color w:val="000000" w:themeColor="text1"/>
          <w:lang w:val="en-GB"/>
        </w:rPr>
        <w:t>Political Economics</w:t>
      </w:r>
      <w:r w:rsidRPr="00092C9F">
        <w:rPr>
          <w:b/>
          <w:color w:val="000000" w:themeColor="text1"/>
          <w:lang w:val="en-GB"/>
        </w:rPr>
        <w:t>.</w:t>
      </w:r>
    </w:p>
    <w:p w14:paraId="4609D342" w14:textId="77777777" w:rsidR="00670630" w:rsidRPr="00092C9F" w:rsidRDefault="00186CE3" w:rsidP="00D00498">
      <w:pPr>
        <w:widowControl w:val="0"/>
        <w:spacing w:line="276" w:lineRule="auto"/>
        <w:jc w:val="both"/>
        <w:rPr>
          <w:color w:val="000000" w:themeColor="text1"/>
          <w:lang w:val="en-GB"/>
        </w:rPr>
      </w:pPr>
      <w:r w:rsidRPr="00092C9F">
        <w:rPr>
          <w:color w:val="000000" w:themeColor="text1"/>
          <w:lang w:val="en-GB"/>
        </w:rPr>
        <w:t>Robinson, J. (1962)</w:t>
      </w:r>
      <w:r w:rsidR="00670630" w:rsidRPr="00092C9F">
        <w:rPr>
          <w:color w:val="000000" w:themeColor="text1"/>
          <w:lang w:val="en-GB"/>
        </w:rPr>
        <w:t>:</w:t>
      </w:r>
      <w:r w:rsidRPr="00092C9F">
        <w:rPr>
          <w:color w:val="000000" w:themeColor="text1"/>
          <w:lang w:val="en-GB"/>
        </w:rPr>
        <w:t xml:space="preserve"> </w:t>
      </w:r>
      <w:r w:rsidRPr="00092C9F">
        <w:rPr>
          <w:b/>
          <w:color w:val="000000" w:themeColor="text1"/>
          <w:lang w:val="en-GB"/>
        </w:rPr>
        <w:t>Essays in the Theory of Economic Growth</w:t>
      </w:r>
      <w:r w:rsidR="00670630" w:rsidRPr="00092C9F">
        <w:rPr>
          <w:color w:val="000000" w:themeColor="text1"/>
          <w:lang w:val="en-GB"/>
        </w:rPr>
        <w:t>,</w:t>
      </w:r>
      <w:r w:rsidRPr="00092C9F">
        <w:rPr>
          <w:color w:val="000000" w:themeColor="text1"/>
          <w:lang w:val="en-GB"/>
        </w:rPr>
        <w:t xml:space="preserve"> London: The Macmillan </w:t>
      </w:r>
    </w:p>
    <w:p w14:paraId="7422A0EB" w14:textId="45576D53" w:rsidR="00186CE3" w:rsidRPr="00092C9F" w:rsidRDefault="00186CE3" w:rsidP="00D00498">
      <w:pPr>
        <w:widowControl w:val="0"/>
        <w:spacing w:line="276" w:lineRule="auto"/>
        <w:ind w:firstLine="720"/>
        <w:jc w:val="both"/>
        <w:rPr>
          <w:color w:val="000000" w:themeColor="text1"/>
          <w:lang w:val="en-GB"/>
        </w:rPr>
      </w:pPr>
      <w:r w:rsidRPr="00092C9F">
        <w:rPr>
          <w:color w:val="000000" w:themeColor="text1"/>
          <w:lang w:val="en-GB"/>
        </w:rPr>
        <w:t>Press.</w:t>
      </w:r>
    </w:p>
    <w:p w14:paraId="6F845745" w14:textId="1797A04F" w:rsidR="00186CE3" w:rsidRPr="00092C9F" w:rsidRDefault="00186CE3" w:rsidP="00D00498">
      <w:pPr>
        <w:widowControl w:val="0"/>
        <w:spacing w:line="276" w:lineRule="auto"/>
        <w:jc w:val="both"/>
        <w:rPr>
          <w:lang w:val="en-GB"/>
        </w:rPr>
      </w:pPr>
      <w:r w:rsidRPr="00092C9F">
        <w:rPr>
          <w:lang w:val="en-GB"/>
        </w:rPr>
        <w:t>Rousseau, J. J. (1984)</w:t>
      </w:r>
      <w:r w:rsidR="007F7808" w:rsidRPr="00092C9F">
        <w:rPr>
          <w:lang w:val="en-GB"/>
        </w:rPr>
        <w:t>:</w:t>
      </w:r>
      <w:r w:rsidRPr="00092C9F">
        <w:rPr>
          <w:lang w:val="en-GB"/>
        </w:rPr>
        <w:t xml:space="preserve"> </w:t>
      </w:r>
      <w:r w:rsidRPr="00092C9F">
        <w:rPr>
          <w:b/>
          <w:lang w:val="en-GB"/>
        </w:rPr>
        <w:t>A Discourse on Inequality</w:t>
      </w:r>
      <w:r w:rsidR="007F7808" w:rsidRPr="00092C9F">
        <w:rPr>
          <w:lang w:val="en-GB"/>
        </w:rPr>
        <w:t>,</w:t>
      </w:r>
      <w:r w:rsidRPr="00092C9F">
        <w:rPr>
          <w:lang w:val="en-GB"/>
        </w:rPr>
        <w:t xml:space="preserve"> London: Penguin Press.</w:t>
      </w:r>
    </w:p>
    <w:p w14:paraId="5EBB27C8" w14:textId="77777777" w:rsidR="009F52BB" w:rsidRPr="00092C9F" w:rsidRDefault="00186CE3" w:rsidP="00D00498">
      <w:pPr>
        <w:widowControl w:val="0"/>
        <w:spacing w:line="276" w:lineRule="auto"/>
        <w:jc w:val="both"/>
        <w:rPr>
          <w:b/>
          <w:lang w:val="en-GB"/>
        </w:rPr>
      </w:pPr>
      <w:r w:rsidRPr="00092C9F">
        <w:rPr>
          <w:lang w:val="en-GB"/>
        </w:rPr>
        <w:t xml:space="preserve">Rubinić, I. and </w:t>
      </w:r>
      <w:proofErr w:type="spellStart"/>
      <w:r w:rsidRPr="00092C9F">
        <w:rPr>
          <w:lang w:val="en-GB"/>
        </w:rPr>
        <w:t>Tajnikar</w:t>
      </w:r>
      <w:proofErr w:type="spellEnd"/>
      <w:r w:rsidRPr="00092C9F">
        <w:rPr>
          <w:lang w:val="en-GB"/>
        </w:rPr>
        <w:t>, M. (2019b)</w:t>
      </w:r>
      <w:r w:rsidR="009F52BB" w:rsidRPr="00092C9F">
        <w:rPr>
          <w:lang w:val="en-GB"/>
        </w:rPr>
        <w:t>:</w:t>
      </w:r>
      <w:r w:rsidRPr="00092C9F">
        <w:rPr>
          <w:lang w:val="en-GB"/>
        </w:rPr>
        <w:t xml:space="preserve"> </w:t>
      </w:r>
      <w:r w:rsidRPr="00092C9F">
        <w:rPr>
          <w:b/>
          <w:lang w:val="en-GB"/>
        </w:rPr>
        <w:t xml:space="preserve">The Influence of the Economic Cycle on the </w:t>
      </w:r>
    </w:p>
    <w:p w14:paraId="4314F4AB" w14:textId="1514EC55" w:rsidR="00186CE3" w:rsidRPr="00092C9F" w:rsidRDefault="00186CE3" w:rsidP="00D00498">
      <w:pPr>
        <w:widowControl w:val="0"/>
        <w:spacing w:line="276" w:lineRule="auto"/>
        <w:ind w:left="720"/>
        <w:jc w:val="both"/>
        <w:rPr>
          <w:lang w:val="en-GB"/>
        </w:rPr>
      </w:pPr>
      <w:r w:rsidRPr="00092C9F">
        <w:rPr>
          <w:b/>
          <w:lang w:val="en-GB"/>
        </w:rPr>
        <w:t>Eurozone’s Cross-Country Inequality Dynamics</w:t>
      </w:r>
      <w:r w:rsidR="009F52BB" w:rsidRPr="00092C9F">
        <w:rPr>
          <w:b/>
          <w:lang w:val="en-GB"/>
        </w:rPr>
        <w:t>,</w:t>
      </w:r>
      <w:r w:rsidRPr="00092C9F">
        <w:rPr>
          <w:lang w:val="en-GB"/>
        </w:rPr>
        <w:t xml:space="preserve"> Manuscript submitted for publication.</w:t>
      </w:r>
    </w:p>
    <w:p w14:paraId="7EA753FD" w14:textId="77777777" w:rsidR="009F52BB" w:rsidRPr="00092C9F" w:rsidRDefault="00186CE3" w:rsidP="00D00498">
      <w:pPr>
        <w:widowControl w:val="0"/>
        <w:spacing w:line="276" w:lineRule="auto"/>
        <w:jc w:val="both"/>
        <w:rPr>
          <w:b/>
          <w:lang w:val="en-GB"/>
        </w:rPr>
      </w:pPr>
      <w:r w:rsidRPr="00092C9F">
        <w:rPr>
          <w:lang w:val="en-GB"/>
        </w:rPr>
        <w:t xml:space="preserve">Rubinić, I. and </w:t>
      </w:r>
      <w:proofErr w:type="spellStart"/>
      <w:r w:rsidRPr="00092C9F">
        <w:rPr>
          <w:lang w:val="en-GB"/>
        </w:rPr>
        <w:t>Tajnikar</w:t>
      </w:r>
      <w:proofErr w:type="spellEnd"/>
      <w:r w:rsidRPr="00092C9F">
        <w:rPr>
          <w:lang w:val="en-GB"/>
        </w:rPr>
        <w:t>, M. (forthcoming 2019a)</w:t>
      </w:r>
      <w:r w:rsidR="009F52BB" w:rsidRPr="00092C9F">
        <w:rPr>
          <w:lang w:val="en-GB"/>
        </w:rPr>
        <w:t>:</w:t>
      </w:r>
      <w:r w:rsidRPr="00092C9F">
        <w:rPr>
          <w:lang w:val="en-GB"/>
        </w:rPr>
        <w:t xml:space="preserve"> </w:t>
      </w:r>
      <w:r w:rsidRPr="00092C9F">
        <w:rPr>
          <w:b/>
          <w:lang w:val="en-GB"/>
        </w:rPr>
        <w:t xml:space="preserve">Labour Force Exploitation and Unequal </w:t>
      </w:r>
    </w:p>
    <w:p w14:paraId="15FB0EAD" w14:textId="4CF2189E" w:rsidR="00186CE3" w:rsidRPr="00092C9F" w:rsidRDefault="00186CE3" w:rsidP="00D00498">
      <w:pPr>
        <w:widowControl w:val="0"/>
        <w:spacing w:line="276" w:lineRule="auto"/>
        <w:ind w:left="720"/>
        <w:jc w:val="both"/>
        <w:rPr>
          <w:lang w:val="en-GB"/>
        </w:rPr>
      </w:pPr>
      <w:r w:rsidRPr="00092C9F">
        <w:rPr>
          <w:b/>
          <w:lang w:val="en-GB"/>
        </w:rPr>
        <w:t>Labour Exchange as the Root Cause of the Eurozone’s Inequality</w:t>
      </w:r>
      <w:r w:rsidR="009F52BB" w:rsidRPr="00092C9F">
        <w:rPr>
          <w:lang w:val="en-GB"/>
        </w:rPr>
        <w:t>,</w:t>
      </w:r>
      <w:r w:rsidRPr="00092C9F">
        <w:rPr>
          <w:b/>
          <w:lang w:val="en-GB"/>
        </w:rPr>
        <w:t xml:space="preserve"> </w:t>
      </w:r>
      <w:proofErr w:type="spellStart"/>
      <w:r w:rsidRPr="00092C9F">
        <w:rPr>
          <w:b/>
          <w:i/>
          <w:lang w:val="en-GB"/>
        </w:rPr>
        <w:t>Društvena</w:t>
      </w:r>
      <w:proofErr w:type="spellEnd"/>
      <w:r w:rsidRPr="00092C9F">
        <w:rPr>
          <w:b/>
          <w:i/>
          <w:lang w:val="en-GB"/>
        </w:rPr>
        <w:t xml:space="preserve"> </w:t>
      </w:r>
      <w:proofErr w:type="spellStart"/>
      <w:r w:rsidRPr="00092C9F">
        <w:rPr>
          <w:b/>
          <w:i/>
          <w:lang w:val="en-GB"/>
        </w:rPr>
        <w:t>Istraživanja</w:t>
      </w:r>
      <w:proofErr w:type="spellEnd"/>
      <w:r w:rsidRPr="00092C9F">
        <w:rPr>
          <w:lang w:val="en-GB"/>
        </w:rPr>
        <w:t>.</w:t>
      </w:r>
    </w:p>
    <w:p w14:paraId="24783268" w14:textId="77777777" w:rsidR="00987591" w:rsidRPr="00092C9F" w:rsidRDefault="00186CE3" w:rsidP="00D00498">
      <w:pPr>
        <w:widowControl w:val="0"/>
        <w:spacing w:line="276" w:lineRule="auto"/>
        <w:jc w:val="both"/>
        <w:rPr>
          <w:b/>
          <w:lang w:val="en-GB"/>
        </w:rPr>
      </w:pPr>
      <w:r w:rsidRPr="00092C9F">
        <w:rPr>
          <w:lang w:val="en-GB"/>
        </w:rPr>
        <w:t>Schott, P. K. (2004)</w:t>
      </w:r>
      <w:r w:rsidR="00987591" w:rsidRPr="00092C9F">
        <w:rPr>
          <w:lang w:val="en-GB"/>
        </w:rPr>
        <w:t>:</w:t>
      </w:r>
      <w:r w:rsidRPr="00092C9F">
        <w:rPr>
          <w:lang w:val="en-GB"/>
        </w:rPr>
        <w:t xml:space="preserve"> </w:t>
      </w:r>
      <w:r w:rsidRPr="00092C9F">
        <w:rPr>
          <w:b/>
          <w:lang w:val="en-GB"/>
        </w:rPr>
        <w:t xml:space="preserve">Across-Product Versus Within-Product Specialization in </w:t>
      </w:r>
    </w:p>
    <w:p w14:paraId="5B6ED26C" w14:textId="7B90B90C" w:rsidR="00186CE3" w:rsidRPr="00092C9F" w:rsidRDefault="00186CE3" w:rsidP="00D00498">
      <w:pPr>
        <w:widowControl w:val="0"/>
        <w:spacing w:line="276" w:lineRule="auto"/>
        <w:ind w:firstLine="720"/>
        <w:jc w:val="both"/>
        <w:rPr>
          <w:rStyle w:val="shorttext"/>
          <w:lang w:val="en-GB"/>
        </w:rPr>
      </w:pPr>
      <w:r w:rsidRPr="00092C9F">
        <w:rPr>
          <w:b/>
          <w:lang w:val="en-GB"/>
        </w:rPr>
        <w:t>International Trade</w:t>
      </w:r>
      <w:r w:rsidR="00987591" w:rsidRPr="00092C9F">
        <w:rPr>
          <w:lang w:val="en-GB"/>
        </w:rPr>
        <w:t>,</w:t>
      </w:r>
      <w:r w:rsidRPr="00092C9F">
        <w:rPr>
          <w:b/>
          <w:i/>
          <w:lang w:val="en-GB"/>
        </w:rPr>
        <w:t xml:space="preserve"> The </w:t>
      </w:r>
      <w:r w:rsidR="00092C9F" w:rsidRPr="00092C9F">
        <w:rPr>
          <w:b/>
          <w:i/>
          <w:lang w:val="en-GB"/>
        </w:rPr>
        <w:t>Quarterly</w:t>
      </w:r>
      <w:r w:rsidRPr="00092C9F">
        <w:rPr>
          <w:b/>
          <w:i/>
          <w:lang w:val="en-GB"/>
        </w:rPr>
        <w:t xml:space="preserve"> Journal of Economics</w:t>
      </w:r>
      <w:r w:rsidR="00987591" w:rsidRPr="00092C9F">
        <w:rPr>
          <w:lang w:val="en-GB"/>
        </w:rPr>
        <w:t>,</w:t>
      </w:r>
      <w:r w:rsidRPr="00092C9F">
        <w:rPr>
          <w:lang w:val="en-GB"/>
        </w:rPr>
        <w:t xml:space="preserve"> 119: 647-678.</w:t>
      </w:r>
    </w:p>
    <w:p w14:paraId="74C35CE5" w14:textId="77777777" w:rsidR="007F7808" w:rsidRPr="00092C9F" w:rsidRDefault="00186CE3" w:rsidP="00D00498">
      <w:pPr>
        <w:spacing w:line="276" w:lineRule="auto"/>
        <w:jc w:val="both"/>
        <w:rPr>
          <w:lang w:val="en-GB"/>
        </w:rPr>
      </w:pPr>
      <w:proofErr w:type="spellStart"/>
      <w:r w:rsidRPr="00092C9F">
        <w:rPr>
          <w:lang w:val="en-GB"/>
        </w:rPr>
        <w:t>Schumaher</w:t>
      </w:r>
      <w:proofErr w:type="spellEnd"/>
      <w:r w:rsidRPr="00092C9F">
        <w:rPr>
          <w:lang w:val="en-GB"/>
        </w:rPr>
        <w:t>, R. (2012)</w:t>
      </w:r>
      <w:r w:rsidR="007F7808" w:rsidRPr="00092C9F">
        <w:rPr>
          <w:lang w:val="en-GB"/>
        </w:rPr>
        <w:t>:</w:t>
      </w:r>
      <w:r w:rsidRPr="00092C9F">
        <w:rPr>
          <w:lang w:val="en-GB"/>
        </w:rPr>
        <w:t xml:space="preserve"> </w:t>
      </w:r>
      <w:r w:rsidRPr="00092C9F">
        <w:rPr>
          <w:b/>
          <w:lang w:val="en-GB"/>
        </w:rPr>
        <w:t>Free Trade and Absolute and Comparative Advantage</w:t>
      </w:r>
      <w:r w:rsidR="007F7808" w:rsidRPr="00092C9F">
        <w:rPr>
          <w:lang w:val="en-GB"/>
        </w:rPr>
        <w:t>,</w:t>
      </w:r>
      <w:r w:rsidRPr="00092C9F">
        <w:rPr>
          <w:lang w:val="en-GB"/>
        </w:rPr>
        <w:t xml:space="preserve"> Potsdam: </w:t>
      </w:r>
    </w:p>
    <w:p w14:paraId="458B4F54" w14:textId="6164D81B" w:rsidR="00186CE3" w:rsidRPr="00092C9F" w:rsidRDefault="00186CE3" w:rsidP="00D00498">
      <w:pPr>
        <w:spacing w:line="276" w:lineRule="auto"/>
        <w:ind w:firstLine="720"/>
        <w:jc w:val="both"/>
        <w:rPr>
          <w:lang w:val="en-GB"/>
        </w:rPr>
      </w:pPr>
      <w:r w:rsidRPr="00092C9F">
        <w:rPr>
          <w:lang w:val="en-GB"/>
        </w:rPr>
        <w:t>University of Potsdam.</w:t>
      </w:r>
    </w:p>
    <w:p w14:paraId="4F66EE6E" w14:textId="77777777" w:rsidR="008D48B8" w:rsidRPr="00092C9F" w:rsidRDefault="00186CE3" w:rsidP="00D00498">
      <w:pPr>
        <w:spacing w:line="276" w:lineRule="auto"/>
        <w:jc w:val="both"/>
        <w:rPr>
          <w:b/>
          <w:i/>
          <w:lang w:val="en-GB"/>
        </w:rPr>
      </w:pPr>
      <w:proofErr w:type="spellStart"/>
      <w:r w:rsidRPr="00092C9F">
        <w:rPr>
          <w:lang w:val="en-GB"/>
        </w:rPr>
        <w:t>Seretis</w:t>
      </w:r>
      <w:proofErr w:type="spellEnd"/>
      <w:r w:rsidRPr="00092C9F">
        <w:rPr>
          <w:lang w:val="en-GB"/>
        </w:rPr>
        <w:t xml:space="preserve">, S.A. and </w:t>
      </w:r>
      <w:proofErr w:type="spellStart"/>
      <w:r w:rsidRPr="00092C9F">
        <w:rPr>
          <w:lang w:val="en-GB"/>
        </w:rPr>
        <w:t>Tsaliki</w:t>
      </w:r>
      <w:proofErr w:type="spellEnd"/>
      <w:r w:rsidRPr="00092C9F">
        <w:rPr>
          <w:lang w:val="en-GB"/>
        </w:rPr>
        <w:t>, P.V. (2016)</w:t>
      </w:r>
      <w:r w:rsidR="008F72AC" w:rsidRPr="00092C9F">
        <w:rPr>
          <w:lang w:val="en-GB"/>
        </w:rPr>
        <w:t>:</w:t>
      </w:r>
      <w:r w:rsidRPr="00092C9F">
        <w:rPr>
          <w:lang w:val="en-GB"/>
        </w:rPr>
        <w:t xml:space="preserve"> </w:t>
      </w:r>
      <w:r w:rsidRPr="00092C9F">
        <w:rPr>
          <w:b/>
          <w:lang w:val="en-GB"/>
        </w:rPr>
        <w:t>Absolute Advantage and International Trade</w:t>
      </w:r>
      <w:r w:rsidR="008D48B8" w:rsidRPr="00092C9F">
        <w:rPr>
          <w:lang w:val="en-GB"/>
        </w:rPr>
        <w:t>,</w:t>
      </w:r>
      <w:r w:rsidRPr="00092C9F">
        <w:rPr>
          <w:b/>
          <w:i/>
          <w:lang w:val="en-GB"/>
        </w:rPr>
        <w:t xml:space="preserve"> </w:t>
      </w:r>
    </w:p>
    <w:p w14:paraId="0C6F180B" w14:textId="6715EE61" w:rsidR="00186CE3" w:rsidRPr="00092C9F" w:rsidRDefault="00186CE3" w:rsidP="00D00498">
      <w:pPr>
        <w:spacing w:line="276" w:lineRule="auto"/>
        <w:ind w:firstLine="720"/>
        <w:jc w:val="both"/>
        <w:rPr>
          <w:color w:val="000000" w:themeColor="text1"/>
          <w:lang w:val="en-GB"/>
        </w:rPr>
      </w:pPr>
      <w:r w:rsidRPr="00092C9F">
        <w:rPr>
          <w:b/>
          <w:i/>
          <w:lang w:val="en-GB"/>
        </w:rPr>
        <w:t>Review of Radical Political Economics</w:t>
      </w:r>
      <w:r w:rsidRPr="00092C9F">
        <w:rPr>
          <w:lang w:val="en-GB"/>
        </w:rPr>
        <w:t>, 48</w:t>
      </w:r>
      <w:r w:rsidR="008F72AC" w:rsidRPr="00092C9F">
        <w:rPr>
          <w:lang w:val="en-GB"/>
        </w:rPr>
        <w:t xml:space="preserve">: </w:t>
      </w:r>
      <w:r w:rsidRPr="00092C9F">
        <w:rPr>
          <w:color w:val="000000" w:themeColor="text1"/>
          <w:lang w:val="en-GB"/>
        </w:rPr>
        <w:t>438-451</w:t>
      </w:r>
      <w:r w:rsidRPr="00092C9F">
        <w:rPr>
          <w:rFonts w:eastAsiaTheme="majorEastAsia"/>
          <w:color w:val="000000" w:themeColor="text1"/>
          <w:shd w:val="clear" w:color="auto" w:fill="FFFFFF"/>
        </w:rPr>
        <w:t>.</w:t>
      </w:r>
    </w:p>
    <w:p w14:paraId="1CFA1F43" w14:textId="155B1F44" w:rsidR="00186CE3" w:rsidRPr="00092C9F" w:rsidRDefault="00186CE3" w:rsidP="00D00498">
      <w:pPr>
        <w:spacing w:line="276" w:lineRule="auto"/>
        <w:jc w:val="both"/>
        <w:rPr>
          <w:lang w:val="en-GB"/>
        </w:rPr>
      </w:pPr>
      <w:r w:rsidRPr="00092C9F">
        <w:rPr>
          <w:lang w:val="en-GB"/>
        </w:rPr>
        <w:t>Shaikh, A. (1980)</w:t>
      </w:r>
      <w:r w:rsidR="008D48B8" w:rsidRPr="00092C9F">
        <w:rPr>
          <w:lang w:val="en-GB"/>
        </w:rPr>
        <w:t>:</w:t>
      </w:r>
      <w:r w:rsidRPr="00092C9F">
        <w:rPr>
          <w:lang w:val="en-GB"/>
        </w:rPr>
        <w:t xml:space="preserve"> </w:t>
      </w:r>
      <w:r w:rsidRPr="00092C9F">
        <w:rPr>
          <w:b/>
          <w:lang w:val="en-GB"/>
        </w:rPr>
        <w:t>Foreign Trade and the Law of Value</w:t>
      </w:r>
      <w:r w:rsidR="008D48B8" w:rsidRPr="00092C9F">
        <w:rPr>
          <w:lang w:val="en-GB"/>
        </w:rPr>
        <w:t>,</w:t>
      </w:r>
      <w:r w:rsidRPr="00092C9F">
        <w:rPr>
          <w:b/>
          <w:lang w:val="en-GB"/>
        </w:rPr>
        <w:t xml:space="preserve"> </w:t>
      </w:r>
      <w:r w:rsidRPr="00092C9F">
        <w:rPr>
          <w:b/>
          <w:i/>
          <w:lang w:val="en-GB"/>
        </w:rPr>
        <w:t>Science and Society</w:t>
      </w:r>
      <w:r w:rsidRPr="00092C9F">
        <w:rPr>
          <w:lang w:val="en-GB"/>
        </w:rPr>
        <w:t>, 43</w:t>
      </w:r>
      <w:r w:rsidR="008D48B8" w:rsidRPr="00092C9F">
        <w:rPr>
          <w:lang w:val="en-GB"/>
        </w:rPr>
        <w:t>:</w:t>
      </w:r>
      <w:r w:rsidRPr="00092C9F">
        <w:rPr>
          <w:lang w:val="en-GB"/>
        </w:rPr>
        <w:t xml:space="preserve"> 281-302.</w:t>
      </w:r>
    </w:p>
    <w:p w14:paraId="5556CA0E" w14:textId="77777777" w:rsidR="00BE6FFE" w:rsidRPr="00092C9F" w:rsidRDefault="00186CE3" w:rsidP="00D00498">
      <w:pPr>
        <w:spacing w:line="276" w:lineRule="auto"/>
        <w:jc w:val="both"/>
        <w:rPr>
          <w:lang w:val="en-GB"/>
        </w:rPr>
      </w:pPr>
      <w:r w:rsidRPr="00092C9F">
        <w:rPr>
          <w:lang w:val="en-GB"/>
        </w:rPr>
        <w:t>Shaikh, A. (2007)</w:t>
      </w:r>
      <w:r w:rsidR="00BE6FFE" w:rsidRPr="00092C9F">
        <w:rPr>
          <w:lang w:val="en-GB"/>
        </w:rPr>
        <w:t>:</w:t>
      </w:r>
      <w:r w:rsidRPr="00092C9F">
        <w:rPr>
          <w:lang w:val="en-GB"/>
        </w:rPr>
        <w:t xml:space="preserve"> </w:t>
      </w:r>
      <w:r w:rsidRPr="00092C9F">
        <w:rPr>
          <w:b/>
          <w:lang w:val="en-GB"/>
        </w:rPr>
        <w:t>Globalization and the myth of free trade</w:t>
      </w:r>
      <w:r w:rsidR="00BE6FFE" w:rsidRPr="00092C9F">
        <w:rPr>
          <w:lang w:val="en-GB"/>
        </w:rPr>
        <w:t>,</w:t>
      </w:r>
      <w:r w:rsidRPr="00092C9F">
        <w:rPr>
          <w:lang w:val="en-GB"/>
        </w:rPr>
        <w:t xml:space="preserve"> In Shaikh, A.</w:t>
      </w:r>
      <w:r w:rsidR="00BE6FFE" w:rsidRPr="00092C9F">
        <w:rPr>
          <w:lang w:val="en-GB"/>
        </w:rPr>
        <w:t>, e</w:t>
      </w:r>
      <w:r w:rsidRPr="00092C9F">
        <w:rPr>
          <w:lang w:val="en-GB"/>
        </w:rPr>
        <w:t>d.</w:t>
      </w:r>
      <w:r w:rsidR="00BE6FFE" w:rsidRPr="00092C9F">
        <w:rPr>
          <w:lang w:val="en-GB"/>
        </w:rPr>
        <w:t>:</w:t>
      </w:r>
      <w:r w:rsidRPr="00092C9F">
        <w:rPr>
          <w:lang w:val="en-GB"/>
        </w:rPr>
        <w:t xml:space="preserve"> </w:t>
      </w:r>
    </w:p>
    <w:p w14:paraId="428E08D5" w14:textId="4DB3D386" w:rsidR="00186CE3" w:rsidRPr="00092C9F" w:rsidRDefault="00186CE3" w:rsidP="00D00498">
      <w:pPr>
        <w:spacing w:line="276" w:lineRule="auto"/>
        <w:ind w:left="720"/>
        <w:jc w:val="both"/>
        <w:rPr>
          <w:lang w:val="en-GB"/>
        </w:rPr>
      </w:pPr>
      <w:r w:rsidRPr="00092C9F">
        <w:rPr>
          <w:b/>
          <w:i/>
          <w:lang w:val="en-GB"/>
        </w:rPr>
        <w:t>Globalization and the myths of free trade</w:t>
      </w:r>
      <w:r w:rsidR="00BE6FFE" w:rsidRPr="00092C9F">
        <w:rPr>
          <w:lang w:val="en-GB"/>
        </w:rPr>
        <w:t>,</w:t>
      </w:r>
      <w:r w:rsidRPr="00092C9F">
        <w:rPr>
          <w:lang w:val="en-GB"/>
        </w:rPr>
        <w:t xml:space="preserve"> New York: Routledge. </w:t>
      </w:r>
    </w:p>
    <w:p w14:paraId="63BD8ACA" w14:textId="77777777" w:rsidR="008D48B8" w:rsidRPr="00092C9F" w:rsidRDefault="00186CE3" w:rsidP="00D00498">
      <w:pPr>
        <w:spacing w:line="276" w:lineRule="auto"/>
        <w:jc w:val="both"/>
        <w:rPr>
          <w:b/>
          <w:lang w:val="en-GB"/>
        </w:rPr>
      </w:pPr>
      <w:r w:rsidRPr="00092C9F">
        <w:rPr>
          <w:lang w:val="en-GB"/>
        </w:rPr>
        <w:t>Singer, H. (1950)</w:t>
      </w:r>
      <w:r w:rsidR="008D48B8" w:rsidRPr="00092C9F">
        <w:rPr>
          <w:lang w:val="en-GB"/>
        </w:rPr>
        <w:t>:</w:t>
      </w:r>
      <w:r w:rsidRPr="00092C9F">
        <w:rPr>
          <w:lang w:val="en-GB"/>
        </w:rPr>
        <w:t xml:space="preserve"> </w:t>
      </w:r>
      <w:r w:rsidRPr="00092C9F">
        <w:rPr>
          <w:b/>
          <w:lang w:val="en-GB"/>
        </w:rPr>
        <w:t xml:space="preserve">The Distribution of Gains Between Investing and Borrowing </w:t>
      </w:r>
    </w:p>
    <w:p w14:paraId="5DF5B5C2" w14:textId="4E9275C9" w:rsidR="00186CE3" w:rsidRPr="00092C9F" w:rsidRDefault="00186CE3" w:rsidP="00D00498">
      <w:pPr>
        <w:spacing w:line="276" w:lineRule="auto"/>
        <w:ind w:firstLine="720"/>
        <w:jc w:val="both"/>
        <w:rPr>
          <w:lang w:val="en-GB"/>
        </w:rPr>
      </w:pPr>
      <w:r w:rsidRPr="00092C9F">
        <w:rPr>
          <w:b/>
          <w:lang w:val="en-GB"/>
        </w:rPr>
        <w:t>Countries</w:t>
      </w:r>
      <w:r w:rsidR="008D48B8" w:rsidRPr="00092C9F">
        <w:rPr>
          <w:lang w:val="en-GB"/>
        </w:rPr>
        <w:t>,</w:t>
      </w:r>
      <w:r w:rsidRPr="00092C9F">
        <w:rPr>
          <w:b/>
          <w:lang w:val="en-GB"/>
        </w:rPr>
        <w:t xml:space="preserve"> </w:t>
      </w:r>
      <w:r w:rsidRPr="00092C9F">
        <w:rPr>
          <w:b/>
          <w:i/>
          <w:lang w:val="en-GB"/>
        </w:rPr>
        <w:t>American Economic Review</w:t>
      </w:r>
      <w:r w:rsidRPr="00092C9F">
        <w:rPr>
          <w:lang w:val="en-GB"/>
        </w:rPr>
        <w:t>, 40</w:t>
      </w:r>
      <w:r w:rsidR="008D48B8" w:rsidRPr="00092C9F">
        <w:rPr>
          <w:lang w:val="en-GB"/>
        </w:rPr>
        <w:t xml:space="preserve">: </w:t>
      </w:r>
      <w:r w:rsidRPr="00092C9F">
        <w:rPr>
          <w:lang w:val="en-GB"/>
        </w:rPr>
        <w:t>473-485.</w:t>
      </w:r>
    </w:p>
    <w:p w14:paraId="5B3B0EB9" w14:textId="3D5EAF53" w:rsidR="00A62D13" w:rsidRPr="00092C9F" w:rsidRDefault="00186CE3" w:rsidP="00092C9F">
      <w:pPr>
        <w:spacing w:line="276" w:lineRule="auto"/>
        <w:jc w:val="both"/>
        <w:rPr>
          <w:lang w:val="en-GB"/>
        </w:rPr>
      </w:pPr>
      <w:r w:rsidRPr="00092C9F">
        <w:rPr>
          <w:lang w:val="en-GB"/>
        </w:rPr>
        <w:t>Smith, N. (2008)</w:t>
      </w:r>
      <w:r w:rsidR="00A62D13" w:rsidRPr="00092C9F">
        <w:rPr>
          <w:lang w:val="en-GB"/>
        </w:rPr>
        <w:t>:</w:t>
      </w:r>
      <w:r w:rsidRPr="00092C9F">
        <w:rPr>
          <w:lang w:val="en-GB"/>
        </w:rPr>
        <w:t xml:space="preserve"> </w:t>
      </w:r>
      <w:r w:rsidRPr="00092C9F">
        <w:rPr>
          <w:b/>
          <w:i/>
          <w:lang w:val="en-GB"/>
        </w:rPr>
        <w:t>Uneven Development</w:t>
      </w:r>
      <w:r w:rsidR="00092C9F" w:rsidRPr="00092C9F">
        <w:rPr>
          <w:lang w:val="en-GB"/>
        </w:rPr>
        <w:t xml:space="preserve">, </w:t>
      </w:r>
      <w:r w:rsidRPr="00092C9F">
        <w:rPr>
          <w:lang w:val="en-GB"/>
        </w:rPr>
        <w:t>London: University of Georgia Press.</w:t>
      </w:r>
    </w:p>
    <w:p w14:paraId="56AC5803" w14:textId="77777777" w:rsidR="00BE6FFE" w:rsidRPr="00092C9F" w:rsidRDefault="00186CE3" w:rsidP="00D00498">
      <w:pPr>
        <w:spacing w:line="276" w:lineRule="auto"/>
        <w:jc w:val="both"/>
        <w:rPr>
          <w:b/>
          <w:lang w:val="en-GB"/>
        </w:rPr>
      </w:pPr>
      <w:r w:rsidRPr="00092C9F">
        <w:rPr>
          <w:lang w:val="en-GB"/>
        </w:rPr>
        <w:t xml:space="preserve">Storm S. and </w:t>
      </w:r>
      <w:proofErr w:type="spellStart"/>
      <w:r w:rsidRPr="00092C9F">
        <w:rPr>
          <w:lang w:val="en-GB"/>
        </w:rPr>
        <w:t>Naastepad</w:t>
      </w:r>
      <w:proofErr w:type="spellEnd"/>
      <w:r w:rsidRPr="00092C9F">
        <w:rPr>
          <w:lang w:val="en-GB"/>
        </w:rPr>
        <w:t>, D. W. M. (2016)</w:t>
      </w:r>
      <w:r w:rsidR="00BE6FFE" w:rsidRPr="00092C9F">
        <w:rPr>
          <w:lang w:val="en-GB"/>
        </w:rPr>
        <w:t>:</w:t>
      </w:r>
      <w:r w:rsidRPr="00092C9F">
        <w:rPr>
          <w:lang w:val="en-GB"/>
        </w:rPr>
        <w:t xml:space="preserve"> </w:t>
      </w:r>
      <w:r w:rsidRPr="00092C9F">
        <w:rPr>
          <w:b/>
          <w:lang w:val="en-GB"/>
        </w:rPr>
        <w:t xml:space="preserve">Structural Divergence and Crisis in the </w:t>
      </w:r>
    </w:p>
    <w:p w14:paraId="6CBF0D60" w14:textId="748613A3" w:rsidR="00186CE3" w:rsidRPr="00092C9F" w:rsidRDefault="00186CE3" w:rsidP="00D00498">
      <w:pPr>
        <w:spacing w:line="276" w:lineRule="auto"/>
        <w:ind w:left="720"/>
        <w:jc w:val="both"/>
        <w:rPr>
          <w:lang w:val="en-GB"/>
        </w:rPr>
      </w:pPr>
      <w:r w:rsidRPr="00092C9F">
        <w:rPr>
          <w:b/>
          <w:lang w:val="en-GB"/>
        </w:rPr>
        <w:t>Eurozone</w:t>
      </w:r>
      <w:r w:rsidR="00BE6FFE" w:rsidRPr="00092C9F">
        <w:rPr>
          <w:lang w:val="en-GB"/>
        </w:rPr>
        <w:t>,</w:t>
      </w:r>
      <w:r w:rsidRPr="00092C9F">
        <w:rPr>
          <w:lang w:val="en-GB"/>
        </w:rPr>
        <w:t xml:space="preserve"> In Stiglitz, J. E. and Guzman , M</w:t>
      </w:r>
      <w:r w:rsidR="00BE6FFE" w:rsidRPr="00092C9F">
        <w:rPr>
          <w:lang w:val="en-GB"/>
        </w:rPr>
        <w:t>., e</w:t>
      </w:r>
      <w:r w:rsidRPr="00092C9F">
        <w:rPr>
          <w:lang w:val="en-GB"/>
        </w:rPr>
        <w:t>ds.</w:t>
      </w:r>
      <w:r w:rsidR="00BE6FFE" w:rsidRPr="00092C9F">
        <w:rPr>
          <w:lang w:val="en-GB"/>
        </w:rPr>
        <w:t>:</w:t>
      </w:r>
      <w:r w:rsidRPr="00092C9F">
        <w:rPr>
          <w:lang w:val="en-GB"/>
        </w:rPr>
        <w:t xml:space="preserve"> </w:t>
      </w:r>
      <w:r w:rsidRPr="00092C9F">
        <w:rPr>
          <w:b/>
          <w:i/>
          <w:lang w:val="en-GB"/>
        </w:rPr>
        <w:t>Contemporary Issues in Macroeconomics</w:t>
      </w:r>
      <w:r w:rsidR="00BE6FFE" w:rsidRPr="00092C9F">
        <w:rPr>
          <w:lang w:val="en-GB"/>
        </w:rPr>
        <w:t>,</w:t>
      </w:r>
      <w:r w:rsidRPr="00092C9F">
        <w:rPr>
          <w:lang w:val="en-GB"/>
        </w:rPr>
        <w:t xml:space="preserve"> New York: Palgrave Macmillan.</w:t>
      </w:r>
    </w:p>
    <w:p w14:paraId="7DD93FED" w14:textId="77777777" w:rsidR="008D48B8" w:rsidRPr="00092C9F" w:rsidRDefault="00186CE3" w:rsidP="00D00498">
      <w:pPr>
        <w:widowControl w:val="0"/>
        <w:spacing w:line="276" w:lineRule="auto"/>
        <w:jc w:val="both"/>
        <w:rPr>
          <w:b/>
          <w:color w:val="000000" w:themeColor="text1"/>
          <w:lang w:val="en-GB"/>
        </w:rPr>
      </w:pPr>
      <w:r w:rsidRPr="00092C9F">
        <w:rPr>
          <w:color w:val="000000" w:themeColor="text1"/>
          <w:lang w:val="en-GB"/>
        </w:rPr>
        <w:t>Toye, J. F. J. and Toye, R. (2003)</w:t>
      </w:r>
      <w:r w:rsidR="008D48B8" w:rsidRPr="00092C9F">
        <w:rPr>
          <w:color w:val="000000" w:themeColor="text1"/>
          <w:lang w:val="en-GB"/>
        </w:rPr>
        <w:t>:</w:t>
      </w:r>
      <w:r w:rsidRPr="00092C9F">
        <w:rPr>
          <w:color w:val="000000" w:themeColor="text1"/>
          <w:lang w:val="en-GB"/>
        </w:rPr>
        <w:t xml:space="preserve"> </w:t>
      </w:r>
      <w:r w:rsidRPr="00092C9F">
        <w:rPr>
          <w:b/>
          <w:color w:val="000000" w:themeColor="text1"/>
          <w:lang w:val="en-GB"/>
        </w:rPr>
        <w:t xml:space="preserve">The Origins and Interpretation of the </w:t>
      </w:r>
      <w:proofErr w:type="spellStart"/>
      <w:r w:rsidRPr="00092C9F">
        <w:rPr>
          <w:b/>
          <w:color w:val="000000" w:themeColor="text1"/>
          <w:lang w:val="en-GB"/>
        </w:rPr>
        <w:t>Prebisch</w:t>
      </w:r>
      <w:proofErr w:type="spellEnd"/>
      <w:r w:rsidRPr="00092C9F">
        <w:rPr>
          <w:b/>
          <w:color w:val="000000" w:themeColor="text1"/>
          <w:lang w:val="en-GB"/>
        </w:rPr>
        <w:t xml:space="preserve">-Singer </w:t>
      </w:r>
    </w:p>
    <w:p w14:paraId="787114CE" w14:textId="0AE7E8C3" w:rsidR="00186CE3" w:rsidRPr="00092C9F" w:rsidRDefault="00186CE3" w:rsidP="00D00498">
      <w:pPr>
        <w:widowControl w:val="0"/>
        <w:spacing w:line="276" w:lineRule="auto"/>
        <w:ind w:firstLine="720"/>
        <w:jc w:val="both"/>
        <w:rPr>
          <w:color w:val="000000" w:themeColor="text1"/>
          <w:lang w:val="en-GB"/>
        </w:rPr>
      </w:pPr>
      <w:r w:rsidRPr="00092C9F">
        <w:rPr>
          <w:b/>
          <w:color w:val="000000" w:themeColor="text1"/>
          <w:lang w:val="en-GB"/>
        </w:rPr>
        <w:t>Thesis</w:t>
      </w:r>
      <w:r w:rsidR="008D48B8" w:rsidRPr="00092C9F">
        <w:rPr>
          <w:color w:val="000000" w:themeColor="text1"/>
          <w:lang w:val="en-GB"/>
        </w:rPr>
        <w:t>,</w:t>
      </w:r>
      <w:r w:rsidRPr="00092C9F">
        <w:rPr>
          <w:b/>
          <w:color w:val="000000" w:themeColor="text1"/>
          <w:lang w:val="en-GB"/>
        </w:rPr>
        <w:t xml:space="preserve"> </w:t>
      </w:r>
      <w:r w:rsidRPr="00092C9F">
        <w:rPr>
          <w:b/>
          <w:i/>
          <w:color w:val="000000" w:themeColor="text1"/>
          <w:lang w:val="en-GB"/>
        </w:rPr>
        <w:t>History of Political Economy</w:t>
      </w:r>
      <w:r w:rsidRPr="00092C9F">
        <w:rPr>
          <w:color w:val="000000" w:themeColor="text1"/>
          <w:lang w:val="en-GB"/>
        </w:rPr>
        <w:t>, 35</w:t>
      </w:r>
      <w:r w:rsidR="008D48B8" w:rsidRPr="00092C9F">
        <w:rPr>
          <w:color w:val="000000" w:themeColor="text1"/>
          <w:lang w:val="en-GB"/>
        </w:rPr>
        <w:t xml:space="preserve">: </w:t>
      </w:r>
      <w:r w:rsidRPr="00092C9F">
        <w:rPr>
          <w:color w:val="000000" w:themeColor="text1"/>
          <w:lang w:val="en-GB"/>
        </w:rPr>
        <w:t>437-467.</w:t>
      </w:r>
    </w:p>
    <w:p w14:paraId="5076E0AE" w14:textId="77777777" w:rsidR="008D48B8" w:rsidRPr="00092C9F" w:rsidRDefault="00186CE3" w:rsidP="00D00498">
      <w:pPr>
        <w:widowControl w:val="0"/>
        <w:spacing w:line="276" w:lineRule="auto"/>
        <w:jc w:val="both"/>
        <w:rPr>
          <w:b/>
          <w:color w:val="000000" w:themeColor="text1"/>
          <w:lang w:val="en-GB"/>
        </w:rPr>
      </w:pPr>
      <w:proofErr w:type="spellStart"/>
      <w:r w:rsidRPr="00092C9F">
        <w:rPr>
          <w:color w:val="000000" w:themeColor="text1"/>
          <w:lang w:val="en-GB"/>
        </w:rPr>
        <w:t>Tsaliki</w:t>
      </w:r>
      <w:proofErr w:type="spellEnd"/>
      <w:r w:rsidRPr="00092C9F">
        <w:rPr>
          <w:color w:val="000000" w:themeColor="text1"/>
          <w:lang w:val="en-GB"/>
        </w:rPr>
        <w:t xml:space="preserve">, P., </w:t>
      </w:r>
      <w:proofErr w:type="spellStart"/>
      <w:r w:rsidRPr="00092C9F">
        <w:rPr>
          <w:color w:val="000000" w:themeColor="text1"/>
          <w:lang w:val="en-GB"/>
        </w:rPr>
        <w:t>Paraskevopoulu</w:t>
      </w:r>
      <w:proofErr w:type="spellEnd"/>
      <w:r w:rsidRPr="00092C9F">
        <w:rPr>
          <w:color w:val="000000" w:themeColor="text1"/>
          <w:lang w:val="en-GB"/>
        </w:rPr>
        <w:t xml:space="preserve">, C. and </w:t>
      </w:r>
      <w:proofErr w:type="spellStart"/>
      <w:r w:rsidRPr="00092C9F">
        <w:rPr>
          <w:color w:val="000000" w:themeColor="text1"/>
          <w:lang w:val="en-GB"/>
        </w:rPr>
        <w:t>Tsoulfidis</w:t>
      </w:r>
      <w:proofErr w:type="spellEnd"/>
      <w:r w:rsidRPr="00092C9F">
        <w:rPr>
          <w:color w:val="000000" w:themeColor="text1"/>
          <w:lang w:val="en-GB"/>
        </w:rPr>
        <w:t>, L. (2017)</w:t>
      </w:r>
      <w:r w:rsidR="008D48B8" w:rsidRPr="00092C9F">
        <w:rPr>
          <w:color w:val="000000" w:themeColor="text1"/>
          <w:lang w:val="en-GB"/>
        </w:rPr>
        <w:t>:</w:t>
      </w:r>
      <w:r w:rsidRPr="00092C9F">
        <w:rPr>
          <w:color w:val="000000" w:themeColor="text1"/>
          <w:lang w:val="en-GB"/>
        </w:rPr>
        <w:t xml:space="preserve"> </w:t>
      </w:r>
      <w:r w:rsidRPr="00092C9F">
        <w:rPr>
          <w:b/>
          <w:color w:val="000000" w:themeColor="text1"/>
          <w:lang w:val="en-GB"/>
        </w:rPr>
        <w:t xml:space="preserve">Unequal exchange and absolute </w:t>
      </w:r>
    </w:p>
    <w:p w14:paraId="253829A2" w14:textId="0A00818E" w:rsidR="00186CE3" w:rsidRPr="00092C9F" w:rsidRDefault="00186CE3" w:rsidP="00D00498">
      <w:pPr>
        <w:widowControl w:val="0"/>
        <w:spacing w:line="276" w:lineRule="auto"/>
        <w:ind w:firstLine="720"/>
        <w:jc w:val="both"/>
        <w:rPr>
          <w:color w:val="000000" w:themeColor="text1"/>
          <w:lang w:val="en-GB"/>
        </w:rPr>
      </w:pPr>
      <w:r w:rsidRPr="00092C9F">
        <w:rPr>
          <w:b/>
          <w:color w:val="000000" w:themeColor="text1"/>
          <w:lang w:val="en-GB"/>
        </w:rPr>
        <w:t>cost advantage</w:t>
      </w:r>
      <w:r w:rsidR="008D48B8" w:rsidRPr="00092C9F">
        <w:rPr>
          <w:color w:val="000000" w:themeColor="text1"/>
          <w:lang w:val="en-GB"/>
        </w:rPr>
        <w:t>,</w:t>
      </w:r>
      <w:r w:rsidRPr="00092C9F">
        <w:rPr>
          <w:b/>
          <w:color w:val="000000" w:themeColor="text1"/>
          <w:lang w:val="en-GB"/>
        </w:rPr>
        <w:t xml:space="preserve"> </w:t>
      </w:r>
      <w:r w:rsidRPr="00092C9F">
        <w:rPr>
          <w:b/>
          <w:i/>
          <w:color w:val="000000" w:themeColor="text1"/>
          <w:lang w:val="en-GB"/>
        </w:rPr>
        <w:t>Cambridge Journal of Economics</w:t>
      </w:r>
      <w:r w:rsidRPr="00092C9F">
        <w:rPr>
          <w:color w:val="000000" w:themeColor="text1"/>
          <w:lang w:val="en-GB"/>
        </w:rPr>
        <w:t>, 42</w:t>
      </w:r>
      <w:r w:rsidR="008D48B8" w:rsidRPr="00092C9F">
        <w:rPr>
          <w:color w:val="000000" w:themeColor="text1"/>
          <w:lang w:val="en-GB"/>
        </w:rPr>
        <w:t xml:space="preserve">: </w:t>
      </w:r>
      <w:r w:rsidRPr="00092C9F">
        <w:rPr>
          <w:color w:val="000000" w:themeColor="text1"/>
          <w:lang w:val="en-GB"/>
        </w:rPr>
        <w:t>1043-1086</w:t>
      </w:r>
      <w:r w:rsidRPr="00092C9F">
        <w:rPr>
          <w:color w:val="000000" w:themeColor="text1"/>
          <w:szCs w:val="26"/>
          <w:bdr w:val="none" w:sz="0" w:space="0" w:color="auto" w:frame="1"/>
          <w:shd w:val="clear" w:color="auto" w:fill="FFFFFF"/>
        </w:rPr>
        <w:t>.</w:t>
      </w:r>
    </w:p>
    <w:p w14:paraId="11FC1DBA" w14:textId="77777777" w:rsidR="004F4E5F" w:rsidRPr="00092C9F" w:rsidRDefault="00186CE3" w:rsidP="00D00498">
      <w:pPr>
        <w:autoSpaceDE w:val="0"/>
        <w:autoSpaceDN w:val="0"/>
        <w:adjustRightInd w:val="0"/>
        <w:spacing w:line="276" w:lineRule="auto"/>
        <w:jc w:val="both"/>
        <w:rPr>
          <w:lang w:val="en-GB"/>
        </w:rPr>
      </w:pPr>
      <w:r w:rsidRPr="00092C9F">
        <w:rPr>
          <w:lang w:val="en-GB"/>
        </w:rPr>
        <w:t xml:space="preserve">United Nations. (2019) </w:t>
      </w:r>
      <w:r w:rsidRPr="00092C9F">
        <w:rPr>
          <w:b/>
          <w:lang w:val="en-GB"/>
        </w:rPr>
        <w:t>National Accounts Statistics Database</w:t>
      </w:r>
      <w:r w:rsidR="004F4E5F" w:rsidRPr="00092C9F">
        <w:rPr>
          <w:lang w:val="en-GB"/>
        </w:rPr>
        <w:t>,</w:t>
      </w:r>
      <w:r w:rsidRPr="00092C9F">
        <w:rPr>
          <w:lang w:val="en-GB"/>
        </w:rPr>
        <w:t xml:space="preserve"> </w:t>
      </w:r>
      <w:r w:rsidR="004F4E5F" w:rsidRPr="00092C9F">
        <w:rPr>
          <w:lang w:val="en-GB"/>
        </w:rPr>
        <w:t xml:space="preserve">https://unstats.un.org </w:t>
      </w:r>
    </w:p>
    <w:p w14:paraId="76A1FCFF" w14:textId="5AE5E55E" w:rsidR="00186CE3" w:rsidRPr="00092C9F" w:rsidRDefault="004F4E5F" w:rsidP="00D00498">
      <w:pPr>
        <w:autoSpaceDE w:val="0"/>
        <w:autoSpaceDN w:val="0"/>
        <w:adjustRightInd w:val="0"/>
        <w:spacing w:line="276" w:lineRule="auto"/>
        <w:ind w:firstLine="720"/>
        <w:jc w:val="both"/>
        <w:rPr>
          <w:color w:val="000000" w:themeColor="text1"/>
        </w:rPr>
      </w:pPr>
      <w:r w:rsidRPr="00092C9F">
        <w:rPr>
          <w:rStyle w:val="Hyperlink"/>
          <w:color w:val="000000" w:themeColor="text1"/>
          <w:u w:val="none"/>
        </w:rPr>
        <w:t>[Accessed 17.11.2018]</w:t>
      </w:r>
      <w:r w:rsidRPr="00092C9F">
        <w:rPr>
          <w:color w:val="000000" w:themeColor="text1"/>
        </w:rPr>
        <w:t>.</w:t>
      </w:r>
    </w:p>
    <w:p w14:paraId="1DBDB218" w14:textId="77777777" w:rsidR="004F4E5F" w:rsidRPr="00092C9F" w:rsidRDefault="00186CE3" w:rsidP="00D00498">
      <w:pPr>
        <w:autoSpaceDE w:val="0"/>
        <w:autoSpaceDN w:val="0"/>
        <w:adjustRightInd w:val="0"/>
        <w:spacing w:line="276" w:lineRule="auto"/>
        <w:jc w:val="both"/>
        <w:rPr>
          <w:lang w:val="en-GB"/>
        </w:rPr>
      </w:pPr>
      <w:r w:rsidRPr="00092C9F">
        <w:rPr>
          <w:lang w:val="en-GB"/>
        </w:rPr>
        <w:t xml:space="preserve">University of </w:t>
      </w:r>
      <w:proofErr w:type="spellStart"/>
      <w:r w:rsidRPr="00092C9F">
        <w:rPr>
          <w:lang w:val="en-GB"/>
        </w:rPr>
        <w:t>Groingen</w:t>
      </w:r>
      <w:proofErr w:type="spellEnd"/>
      <w:r w:rsidRPr="00092C9F">
        <w:rPr>
          <w:lang w:val="en-GB"/>
        </w:rPr>
        <w:t xml:space="preserve"> (2019) Penn World Tables 9.0. [Data file]. Retrieved from </w:t>
      </w:r>
    </w:p>
    <w:p w14:paraId="3F73B7FA" w14:textId="11660D80" w:rsidR="00186CE3" w:rsidRPr="00092C9F" w:rsidRDefault="004F4E5F" w:rsidP="00D00498">
      <w:pPr>
        <w:autoSpaceDE w:val="0"/>
        <w:autoSpaceDN w:val="0"/>
        <w:adjustRightInd w:val="0"/>
        <w:spacing w:line="276" w:lineRule="auto"/>
        <w:ind w:firstLine="720"/>
        <w:jc w:val="both"/>
        <w:rPr>
          <w:color w:val="000000" w:themeColor="text1"/>
        </w:rPr>
      </w:pPr>
      <w:r w:rsidRPr="00092C9F">
        <w:rPr>
          <w:color w:val="000000" w:themeColor="text1"/>
          <w:lang w:val="en-GB"/>
        </w:rPr>
        <w:t xml:space="preserve">https://www.rug.nl </w:t>
      </w:r>
      <w:r w:rsidRPr="00092C9F">
        <w:rPr>
          <w:rStyle w:val="Hyperlink"/>
          <w:color w:val="000000" w:themeColor="text1"/>
          <w:u w:val="none"/>
        </w:rPr>
        <w:t>[Accessed 29.10.2018]</w:t>
      </w:r>
      <w:r w:rsidRPr="00092C9F">
        <w:rPr>
          <w:color w:val="000000" w:themeColor="text1"/>
        </w:rPr>
        <w:t>.</w:t>
      </w:r>
    </w:p>
    <w:p w14:paraId="5565B6AE" w14:textId="5AC5D953" w:rsidR="00186CE3" w:rsidRPr="00092C9F" w:rsidRDefault="00186CE3" w:rsidP="00092C9F">
      <w:pPr>
        <w:spacing w:line="276" w:lineRule="auto"/>
        <w:jc w:val="both"/>
        <w:rPr>
          <w:lang w:val="en-GB"/>
        </w:rPr>
      </w:pPr>
      <w:r w:rsidRPr="00092C9F">
        <w:rPr>
          <w:lang w:val="en-GB"/>
        </w:rPr>
        <w:t>van Schaik, A. B. T. M. (1976)</w:t>
      </w:r>
      <w:r w:rsidR="007F7808" w:rsidRPr="00092C9F">
        <w:rPr>
          <w:lang w:val="en-GB"/>
        </w:rPr>
        <w:t>:</w:t>
      </w:r>
      <w:r w:rsidRPr="00092C9F">
        <w:rPr>
          <w:lang w:val="en-GB"/>
        </w:rPr>
        <w:t xml:space="preserve"> </w:t>
      </w:r>
      <w:r w:rsidRPr="00092C9F">
        <w:rPr>
          <w:b/>
          <w:lang w:val="en-GB"/>
        </w:rPr>
        <w:t>Reproduction and Fixed Capital</w:t>
      </w:r>
      <w:r w:rsidR="007F7808" w:rsidRPr="00092C9F">
        <w:rPr>
          <w:lang w:val="en-GB"/>
        </w:rPr>
        <w:t>,</w:t>
      </w:r>
      <w:r w:rsidRPr="00092C9F">
        <w:rPr>
          <w:lang w:val="en-GB"/>
        </w:rPr>
        <w:t xml:space="preserve"> Tilburg: University Press.</w:t>
      </w:r>
    </w:p>
    <w:p w14:paraId="6C66D45B" w14:textId="77777777" w:rsidR="004F4E5F" w:rsidRPr="00092C9F" w:rsidRDefault="00186CE3" w:rsidP="00D00498">
      <w:pPr>
        <w:autoSpaceDE w:val="0"/>
        <w:autoSpaceDN w:val="0"/>
        <w:adjustRightInd w:val="0"/>
        <w:spacing w:line="276" w:lineRule="auto"/>
        <w:jc w:val="both"/>
        <w:rPr>
          <w:color w:val="000000" w:themeColor="text1"/>
          <w:lang w:val="en-GB"/>
        </w:rPr>
      </w:pPr>
      <w:r w:rsidRPr="00092C9F">
        <w:rPr>
          <w:color w:val="000000" w:themeColor="text1"/>
          <w:lang w:val="en-GB"/>
        </w:rPr>
        <w:t xml:space="preserve">World Bank. (2019) </w:t>
      </w:r>
      <w:r w:rsidRPr="00092C9F">
        <w:rPr>
          <w:b/>
          <w:color w:val="000000" w:themeColor="text1"/>
          <w:lang w:val="en-GB"/>
        </w:rPr>
        <w:t>World Development Indicators (WDI)</w:t>
      </w:r>
      <w:r w:rsidR="004F4E5F" w:rsidRPr="00092C9F">
        <w:rPr>
          <w:color w:val="000000" w:themeColor="text1"/>
          <w:lang w:val="en-GB"/>
        </w:rPr>
        <w:t xml:space="preserve">, </w:t>
      </w:r>
    </w:p>
    <w:p w14:paraId="3A1E0847" w14:textId="4374AB1B" w:rsidR="00186CE3" w:rsidRPr="00092C9F" w:rsidRDefault="004F4E5F" w:rsidP="00D00498">
      <w:pPr>
        <w:autoSpaceDE w:val="0"/>
        <w:autoSpaceDN w:val="0"/>
        <w:adjustRightInd w:val="0"/>
        <w:spacing w:line="276" w:lineRule="auto"/>
        <w:ind w:firstLine="720"/>
        <w:jc w:val="both"/>
        <w:rPr>
          <w:color w:val="000000" w:themeColor="text1"/>
        </w:rPr>
      </w:pPr>
      <w:r w:rsidRPr="00092C9F">
        <w:rPr>
          <w:color w:val="000000" w:themeColor="text1"/>
          <w:lang w:val="en-GB"/>
        </w:rPr>
        <w:t xml:space="preserve">https://datacatalog.worldbank.org </w:t>
      </w:r>
      <w:r w:rsidRPr="00092C9F">
        <w:rPr>
          <w:rStyle w:val="Hyperlink"/>
          <w:color w:val="000000" w:themeColor="text1"/>
          <w:u w:val="none"/>
        </w:rPr>
        <w:t>[Accessed 18.12.2018]</w:t>
      </w:r>
      <w:r w:rsidRPr="00092C9F">
        <w:rPr>
          <w:color w:val="000000" w:themeColor="text1"/>
        </w:rPr>
        <w:t>.</w:t>
      </w:r>
    </w:p>
    <w:p w14:paraId="2ABAC3FF" w14:textId="77777777" w:rsidR="004F4E5F" w:rsidRPr="00092C9F" w:rsidRDefault="00186CE3" w:rsidP="00D00498">
      <w:pPr>
        <w:autoSpaceDE w:val="0"/>
        <w:autoSpaceDN w:val="0"/>
        <w:adjustRightInd w:val="0"/>
        <w:spacing w:line="276" w:lineRule="auto"/>
        <w:jc w:val="both"/>
      </w:pPr>
      <w:r w:rsidRPr="00092C9F">
        <w:t xml:space="preserve">World Inequality Lab. (2017) </w:t>
      </w:r>
      <w:r w:rsidRPr="00092C9F">
        <w:rPr>
          <w:b/>
        </w:rPr>
        <w:t>World Inequality Report 2018</w:t>
      </w:r>
      <w:r w:rsidR="004F4E5F" w:rsidRPr="00092C9F">
        <w:t>,</w:t>
      </w:r>
      <w:r w:rsidRPr="00092C9F">
        <w:t xml:space="preserve"> </w:t>
      </w:r>
    </w:p>
    <w:p w14:paraId="77CEC0C1" w14:textId="77777777" w:rsidR="004F4E5F" w:rsidRPr="00092C9F" w:rsidRDefault="004F4E5F" w:rsidP="00D00498">
      <w:pPr>
        <w:autoSpaceDE w:val="0"/>
        <w:autoSpaceDN w:val="0"/>
        <w:adjustRightInd w:val="0"/>
        <w:spacing w:line="276" w:lineRule="auto"/>
        <w:ind w:firstLine="720"/>
        <w:jc w:val="both"/>
        <w:rPr>
          <w:rStyle w:val="Hyperlink"/>
          <w:color w:val="000000" w:themeColor="text1"/>
          <w:u w:val="none"/>
        </w:rPr>
      </w:pPr>
      <w:r w:rsidRPr="00092C9F">
        <w:rPr>
          <w:rStyle w:val="Hyperlink"/>
          <w:color w:val="000000" w:themeColor="text1"/>
          <w:u w:val="none"/>
        </w:rPr>
        <w:t xml:space="preserve">https://wir2018.wid.world/files/download/wir2018-full-report-english.pdf [Accessed </w:t>
      </w:r>
    </w:p>
    <w:p w14:paraId="2D30682E" w14:textId="59FDC72C" w:rsidR="00186CE3" w:rsidRPr="00092C9F" w:rsidRDefault="004F4E5F" w:rsidP="00D00498">
      <w:pPr>
        <w:autoSpaceDE w:val="0"/>
        <w:autoSpaceDN w:val="0"/>
        <w:adjustRightInd w:val="0"/>
        <w:spacing w:line="276" w:lineRule="auto"/>
        <w:ind w:firstLine="720"/>
        <w:jc w:val="both"/>
        <w:rPr>
          <w:color w:val="000000" w:themeColor="text1"/>
        </w:rPr>
      </w:pPr>
      <w:r w:rsidRPr="00092C9F">
        <w:rPr>
          <w:rStyle w:val="Hyperlink"/>
          <w:color w:val="000000" w:themeColor="text1"/>
          <w:u w:val="none"/>
        </w:rPr>
        <w:t>12.12.2018]</w:t>
      </w:r>
      <w:r w:rsidR="00186CE3" w:rsidRPr="00092C9F">
        <w:rPr>
          <w:color w:val="000000" w:themeColor="text1"/>
        </w:rPr>
        <w:t>.</w:t>
      </w:r>
    </w:p>
    <w:p w14:paraId="04C5E32F" w14:textId="732F3012" w:rsidR="00795EE5" w:rsidRPr="00BD7DCE" w:rsidRDefault="00186CE3" w:rsidP="00092C9F">
      <w:pPr>
        <w:widowControl w:val="0"/>
        <w:spacing w:line="276" w:lineRule="auto"/>
        <w:jc w:val="both"/>
        <w:rPr>
          <w:lang w:val="en-GB"/>
        </w:rPr>
      </w:pPr>
      <w:r w:rsidRPr="00092C9F">
        <w:rPr>
          <w:rStyle w:val="shorttext"/>
          <w:lang w:val="en-GB"/>
        </w:rPr>
        <w:t xml:space="preserve">Yoshihara, N. and </w:t>
      </w:r>
      <w:proofErr w:type="spellStart"/>
      <w:r w:rsidRPr="00092C9F">
        <w:rPr>
          <w:rStyle w:val="shorttext"/>
          <w:lang w:val="en-GB"/>
        </w:rPr>
        <w:t>Veneziani</w:t>
      </w:r>
      <w:proofErr w:type="spellEnd"/>
      <w:r w:rsidRPr="00092C9F">
        <w:rPr>
          <w:rStyle w:val="shorttext"/>
          <w:lang w:val="en-GB"/>
        </w:rPr>
        <w:t>, R. (2018)</w:t>
      </w:r>
      <w:r w:rsidR="008D48B8" w:rsidRPr="00092C9F">
        <w:rPr>
          <w:rStyle w:val="shorttext"/>
          <w:lang w:val="en-GB"/>
        </w:rPr>
        <w:t>:</w:t>
      </w:r>
      <w:r w:rsidRPr="00092C9F">
        <w:rPr>
          <w:rStyle w:val="shorttext"/>
          <w:lang w:val="en-GB"/>
        </w:rPr>
        <w:t xml:space="preserve"> </w:t>
      </w:r>
      <w:r w:rsidRPr="00092C9F">
        <w:rPr>
          <w:rStyle w:val="shorttext"/>
          <w:b/>
          <w:lang w:val="en-GB"/>
        </w:rPr>
        <w:t>The theory of exploitation as the unequal exchange of labour</w:t>
      </w:r>
      <w:r w:rsidR="008D48B8" w:rsidRPr="00092C9F">
        <w:rPr>
          <w:rStyle w:val="shorttext"/>
          <w:lang w:val="en-GB"/>
        </w:rPr>
        <w:t>,</w:t>
      </w:r>
      <w:r w:rsidRPr="00092C9F">
        <w:rPr>
          <w:rStyle w:val="shorttext"/>
          <w:b/>
          <w:i/>
          <w:lang w:val="en-GB"/>
        </w:rPr>
        <w:t xml:space="preserve"> Economics and Philosophy</w:t>
      </w:r>
      <w:r w:rsidRPr="00092C9F">
        <w:rPr>
          <w:rStyle w:val="shorttext"/>
          <w:lang w:val="en-GB"/>
        </w:rPr>
        <w:t>, 34</w:t>
      </w:r>
      <w:r w:rsidR="008D48B8" w:rsidRPr="00092C9F">
        <w:rPr>
          <w:rStyle w:val="shorttext"/>
          <w:lang w:val="en-GB"/>
        </w:rPr>
        <w:t xml:space="preserve">: </w:t>
      </w:r>
      <w:r w:rsidRPr="00092C9F">
        <w:rPr>
          <w:rStyle w:val="shorttext"/>
          <w:lang w:val="en-GB"/>
        </w:rPr>
        <w:t>381-409.</w:t>
      </w:r>
    </w:p>
    <w:sectPr w:rsidR="00795EE5" w:rsidRPr="00BD7DCE" w:rsidSect="00DC1C9B">
      <w:headerReference w:type="even" r:id="rId8"/>
      <w:headerReference w:type="default" r:id="rId9"/>
      <w:footerReference w:type="even" r:id="rId10"/>
      <w:footerReference w:type="default" r:id="rId11"/>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E50C8" w14:textId="77777777" w:rsidR="00336472" w:rsidRDefault="00336472">
      <w:r>
        <w:separator/>
      </w:r>
    </w:p>
  </w:endnote>
  <w:endnote w:type="continuationSeparator" w:id="0">
    <w:p w14:paraId="7ED29465" w14:textId="77777777" w:rsidR="00336472" w:rsidRDefault="00336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EE"/>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2020603050405020304"/>
    <w:charset w:val="00"/>
    <w:family w:val="roman"/>
    <w:pitch w:val="variable"/>
    <w:sig w:usb0="E0002AEF" w:usb1="C0007841"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B74B7" w14:textId="77777777" w:rsidR="00805EE5" w:rsidRPr="006A63EC" w:rsidRDefault="00805EE5" w:rsidP="006A63EC">
    <w:pPr>
      <w:pStyle w:val="Footer"/>
      <w:rPr>
        <w:sz w:val="20"/>
        <w:szCs w:val="18"/>
      </w:rPr>
    </w:pPr>
    <w:r w:rsidRPr="006A63EC">
      <w:rPr>
        <w:sz w:val="20"/>
        <w:szCs w:val="18"/>
      </w:rPr>
      <w:fldChar w:fldCharType="begin"/>
    </w:r>
    <w:r w:rsidRPr="006A63EC">
      <w:rPr>
        <w:sz w:val="20"/>
        <w:szCs w:val="18"/>
      </w:rPr>
      <w:instrText>PAGE   \* MERGEFORMAT</w:instrText>
    </w:r>
    <w:r w:rsidRPr="006A63EC">
      <w:rPr>
        <w:sz w:val="20"/>
        <w:szCs w:val="18"/>
      </w:rPr>
      <w:fldChar w:fldCharType="separate"/>
    </w:r>
    <w:r w:rsidRPr="00A10B5D">
      <w:rPr>
        <w:noProof/>
        <w:sz w:val="20"/>
        <w:szCs w:val="18"/>
        <w:lang w:val="hr-HR"/>
      </w:rPr>
      <w:t>4</w:t>
    </w:r>
    <w:r w:rsidRPr="006A63EC">
      <w:rPr>
        <w:sz w:val="20"/>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B3F25" w14:textId="77777777" w:rsidR="00805EE5" w:rsidRPr="006A63EC" w:rsidRDefault="00805EE5" w:rsidP="006A63EC">
    <w:pPr>
      <w:pStyle w:val="Footer"/>
      <w:jc w:val="right"/>
      <w:rPr>
        <w:sz w:val="20"/>
      </w:rPr>
    </w:pPr>
    <w:r w:rsidRPr="006A63EC">
      <w:rPr>
        <w:sz w:val="20"/>
      </w:rPr>
      <w:fldChar w:fldCharType="begin"/>
    </w:r>
    <w:r w:rsidRPr="006A63EC">
      <w:rPr>
        <w:sz w:val="20"/>
      </w:rPr>
      <w:instrText>PAGE   \* MERGEFORMAT</w:instrText>
    </w:r>
    <w:r w:rsidRPr="006A63EC">
      <w:rPr>
        <w:sz w:val="20"/>
      </w:rPr>
      <w:fldChar w:fldCharType="separate"/>
    </w:r>
    <w:r w:rsidRPr="00A10B5D">
      <w:rPr>
        <w:noProof/>
        <w:sz w:val="20"/>
        <w:lang w:val="hr-HR"/>
      </w:rPr>
      <w:t>3</w:t>
    </w:r>
    <w:r w:rsidRPr="006A63EC">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C8E6F" w14:textId="77777777" w:rsidR="00336472" w:rsidRDefault="00336472">
      <w:r>
        <w:separator/>
      </w:r>
    </w:p>
  </w:footnote>
  <w:footnote w:type="continuationSeparator" w:id="0">
    <w:p w14:paraId="2E3EDEDB" w14:textId="77777777" w:rsidR="00336472" w:rsidRDefault="00336472">
      <w:r>
        <w:continuationSeparator/>
      </w:r>
    </w:p>
  </w:footnote>
  <w:footnote w:id="1">
    <w:p w14:paraId="5898A732" w14:textId="29B3DA6A" w:rsidR="00805EE5" w:rsidRDefault="00805EE5" w:rsidP="003708C8">
      <w:pPr>
        <w:pStyle w:val="Header"/>
        <w:jc w:val="both"/>
        <w:rPr>
          <w:i/>
          <w:iCs/>
          <w:noProof/>
          <w:sz w:val="18"/>
          <w:szCs w:val="18"/>
        </w:rPr>
      </w:pPr>
      <w:r>
        <w:rPr>
          <w:rStyle w:val="FootnoteReference"/>
        </w:rPr>
        <w:footnoteRef/>
      </w:r>
      <w:r>
        <w:t xml:space="preserve"> </w:t>
      </w:r>
      <w:r w:rsidR="006F7B76">
        <w:rPr>
          <w:color w:val="000000"/>
          <w:sz w:val="20"/>
          <w:szCs w:val="20"/>
          <w:shd w:val="clear" w:color="auto" w:fill="FFFFFF"/>
        </w:rPr>
        <w:t>Working paper, not to be cited or published. For all information regarding the paper contact the corresponding author, Ivan Rubinić.</w:t>
      </w:r>
    </w:p>
    <w:p w14:paraId="439E43AE" w14:textId="642D2759" w:rsidR="00805EE5" w:rsidRPr="003708C8" w:rsidRDefault="00805EE5" w:rsidP="003708C8">
      <w:pPr>
        <w:rPr>
          <w:lang w:val="hr-HR"/>
        </w:rPr>
      </w:pPr>
    </w:p>
  </w:footnote>
  <w:footnote w:id="2">
    <w:p w14:paraId="2F15035A" w14:textId="77777777" w:rsidR="00805EE5" w:rsidRPr="00467F9F" w:rsidRDefault="00805EE5" w:rsidP="00186CE3">
      <w:pPr>
        <w:pStyle w:val="FootnoteText"/>
      </w:pPr>
      <w:r>
        <w:rPr>
          <w:rStyle w:val="FootnoteReference"/>
        </w:rPr>
        <w:footnoteRef/>
      </w:r>
      <w:r>
        <w:t xml:space="preserve"> For a detailed breakdown of the matter see </w:t>
      </w:r>
      <w:proofErr w:type="spellStart"/>
      <w:r>
        <w:t>Raffer</w:t>
      </w:r>
      <w:proofErr w:type="spellEnd"/>
      <w:r>
        <w:t xml:space="preserve"> (1987), Brolin (</w:t>
      </w:r>
      <w:r w:rsidRPr="00B62953">
        <w:rPr>
          <w:rStyle w:val="5yl5"/>
          <w:rFonts w:eastAsiaTheme="majorEastAsia"/>
          <w:lang w:val="en-GB"/>
        </w:rPr>
        <w:t>2007</w:t>
      </w:r>
      <w:r>
        <w:rPr>
          <w:rStyle w:val="5yl5"/>
          <w:rFonts w:eastAsiaTheme="majorEastAsia"/>
          <w:lang w:val="en-GB"/>
        </w:rPr>
        <w:t>), and</w:t>
      </w:r>
      <w:r w:rsidRPr="00B62953">
        <w:rPr>
          <w:rStyle w:val="5yl5"/>
          <w:rFonts w:eastAsiaTheme="majorEastAsia"/>
          <w:lang w:val="en-GB"/>
        </w:rPr>
        <w:t xml:space="preserve"> Lichtenstein</w:t>
      </w:r>
      <w:r>
        <w:rPr>
          <w:rStyle w:val="5yl5"/>
          <w:rFonts w:eastAsiaTheme="majorEastAsia"/>
          <w:lang w:val="en-GB"/>
        </w:rPr>
        <w:t xml:space="preserve"> (</w:t>
      </w:r>
      <w:r w:rsidRPr="00B62953">
        <w:rPr>
          <w:rStyle w:val="5yl5"/>
          <w:rFonts w:eastAsiaTheme="majorEastAsia"/>
          <w:lang w:val="en-GB"/>
        </w:rPr>
        <w:t>2016</w:t>
      </w:r>
      <w:r>
        <w:rPr>
          <w:rStyle w:val="5yl5"/>
          <w:rFonts w:eastAsiaTheme="majorEastAsia"/>
          <w:lang w:val="en-GB"/>
        </w:rPr>
        <w:t>).</w:t>
      </w:r>
    </w:p>
  </w:footnote>
  <w:footnote w:id="3">
    <w:p w14:paraId="542E6EA8" w14:textId="77777777" w:rsidR="00805EE5" w:rsidRPr="0026161E" w:rsidRDefault="00805EE5" w:rsidP="00186CE3">
      <w:pPr>
        <w:jc w:val="both"/>
        <w:rPr>
          <w:lang w:val="en-GB"/>
        </w:rPr>
      </w:pPr>
      <w:r>
        <w:rPr>
          <w:rStyle w:val="FootnoteReference"/>
        </w:rPr>
        <w:footnoteRef/>
      </w:r>
      <w:r>
        <w:t xml:space="preserve"> </w:t>
      </w:r>
      <w:r w:rsidRPr="00A45216">
        <w:rPr>
          <w:sz w:val="20"/>
          <w:lang w:val="en-GB"/>
        </w:rPr>
        <w:t xml:space="preserve">While the </w:t>
      </w:r>
      <w:r>
        <w:rPr>
          <w:sz w:val="20"/>
          <w:lang w:val="en-GB"/>
        </w:rPr>
        <w:t xml:space="preserve">capital </w:t>
      </w:r>
      <w:r w:rsidRPr="00A45216">
        <w:rPr>
          <w:sz w:val="20"/>
          <w:lang w:val="en-GB"/>
        </w:rPr>
        <w:t xml:space="preserve">homogeneity is generally accepted, </w:t>
      </w:r>
      <w:r>
        <w:rPr>
          <w:sz w:val="20"/>
          <w:lang w:val="en-GB"/>
        </w:rPr>
        <w:t xml:space="preserve">reduction of all labour </w:t>
      </w:r>
      <w:r w:rsidRPr="00A45216">
        <w:rPr>
          <w:sz w:val="20"/>
          <w:lang w:val="en-GB"/>
        </w:rPr>
        <w:t>to homogenous labour deserves a</w:t>
      </w:r>
      <w:r>
        <w:rPr>
          <w:sz w:val="20"/>
          <w:lang w:val="en-GB"/>
        </w:rPr>
        <w:t xml:space="preserve"> </w:t>
      </w:r>
      <w:r w:rsidRPr="00A45216">
        <w:rPr>
          <w:sz w:val="20"/>
          <w:lang w:val="en-GB"/>
        </w:rPr>
        <w:t xml:space="preserve">remark. </w:t>
      </w:r>
      <w:r>
        <w:rPr>
          <w:sz w:val="20"/>
          <w:lang w:val="en-GB"/>
        </w:rPr>
        <w:t>This is partly justified by the fact that, in</w:t>
      </w:r>
      <w:r w:rsidRPr="00A45216">
        <w:rPr>
          <w:sz w:val="20"/>
          <w:lang w:val="en-GB"/>
        </w:rPr>
        <w:t xml:space="preserve"> the developed stages of capitalism, the differences between the kinds of labour are diminished (</w:t>
      </w:r>
      <w:r>
        <w:rPr>
          <w:sz w:val="20"/>
          <w:lang w:val="en-GB"/>
        </w:rPr>
        <w:t>Cohen, 1974</w:t>
      </w:r>
      <w:r w:rsidRPr="00A45216">
        <w:rPr>
          <w:sz w:val="20"/>
          <w:lang w:val="en-GB"/>
        </w:rPr>
        <w:t xml:space="preserve">), or as Marx </w:t>
      </w:r>
      <w:r>
        <w:rPr>
          <w:sz w:val="20"/>
          <w:lang w:val="en-GB"/>
        </w:rPr>
        <w:t xml:space="preserve">(1847) </w:t>
      </w:r>
      <w:r w:rsidRPr="00A45216">
        <w:rPr>
          <w:sz w:val="20"/>
          <w:lang w:val="en-GB"/>
        </w:rPr>
        <w:t>write</w:t>
      </w:r>
      <w:r>
        <w:rPr>
          <w:sz w:val="20"/>
          <w:lang w:val="en-GB"/>
        </w:rPr>
        <w:t>s</w:t>
      </w:r>
      <w:r w:rsidRPr="00A45216">
        <w:rPr>
          <w:sz w:val="20"/>
          <w:lang w:val="en-GB"/>
        </w:rPr>
        <w:t xml:space="preserve">: </w:t>
      </w:r>
      <w:r w:rsidRPr="00A45216">
        <w:rPr>
          <w:i/>
          <w:sz w:val="20"/>
          <w:lang w:val="en-GB"/>
        </w:rPr>
        <w:t xml:space="preserve">“…as the division of labour increases, labour is simplified. The special skill of the worker becomes worthless. He </w:t>
      </w:r>
      <w:r>
        <w:rPr>
          <w:i/>
          <w:sz w:val="20"/>
          <w:lang w:val="en-GB"/>
        </w:rPr>
        <w:t xml:space="preserve">[on average] </w:t>
      </w:r>
      <w:r w:rsidRPr="00A45216">
        <w:rPr>
          <w:i/>
          <w:sz w:val="20"/>
          <w:lang w:val="en-GB"/>
        </w:rPr>
        <w:t>becomes transformed into a simple, monotonous productive force that does not have to use intense bodily or intellectual faculties"</w:t>
      </w:r>
      <w:r>
        <w:rPr>
          <w:sz w:val="20"/>
          <w:lang w:val="en-GB"/>
        </w:rPr>
        <w:t>. Additionally, drawing on the assumption that the unit of labour produces the same value implies that the degree of the workers’ ability to produce the value is equally distributed across the countries.</w:t>
      </w:r>
    </w:p>
  </w:footnote>
  <w:footnote w:id="4">
    <w:p w14:paraId="14581081" w14:textId="77777777" w:rsidR="00805EE5" w:rsidRDefault="00805EE5" w:rsidP="00186CE3">
      <w:pPr>
        <w:pStyle w:val="FootnoteText"/>
        <w:jc w:val="both"/>
      </w:pPr>
      <w:r>
        <w:rPr>
          <w:rStyle w:val="FootnoteReference"/>
        </w:rPr>
        <w:footnoteRef/>
      </w:r>
      <w:r>
        <w:t xml:space="preserve"> The </w:t>
      </w:r>
      <w:r w:rsidRPr="003A3261">
        <w:rPr>
          <w:lang w:val="en-GB"/>
        </w:rPr>
        <w:t>equilibrium</w:t>
      </w:r>
      <w:r>
        <w:rPr>
          <w:lang w:val="en-GB"/>
        </w:rPr>
        <w:t xml:space="preserve"> (production) prices are considered the centres of gravity (</w:t>
      </w:r>
      <w:proofErr w:type="spellStart"/>
      <w:r>
        <w:rPr>
          <w:lang w:val="en-GB"/>
        </w:rPr>
        <w:t>Mari</w:t>
      </w:r>
      <w:r>
        <w:rPr>
          <w:rFonts w:ascii="Cambria" w:hAnsi="Cambria" w:cs="Cambria"/>
          <w:lang w:val="en-GB"/>
        </w:rPr>
        <w:t>ñ</w:t>
      </w:r>
      <w:r>
        <w:rPr>
          <w:lang w:val="en-GB"/>
        </w:rPr>
        <w:t>a</w:t>
      </w:r>
      <w:proofErr w:type="spellEnd"/>
      <w:r>
        <w:rPr>
          <w:lang w:val="en-GB"/>
        </w:rPr>
        <w:t>-Flores, 1998).</w:t>
      </w:r>
    </w:p>
  </w:footnote>
  <w:footnote w:id="5">
    <w:p w14:paraId="117DE6CE" w14:textId="77777777" w:rsidR="00805EE5" w:rsidRDefault="00805EE5" w:rsidP="00186CE3">
      <w:pPr>
        <w:pStyle w:val="FootnoteText"/>
        <w:jc w:val="both"/>
      </w:pPr>
      <w:r>
        <w:rPr>
          <w:rStyle w:val="FootnoteReference"/>
        </w:rPr>
        <w:footnoteRef/>
      </w:r>
      <w:r>
        <w:t xml:space="preserve"> In a monopoly state, unequal exchange comes as a result of cross-country profit rate differentials </w:t>
      </w:r>
      <w:r w:rsidRPr="00A87EBB">
        <w:t>(Amin, 1976).</w:t>
      </w:r>
    </w:p>
  </w:footnote>
  <w:footnote w:id="6">
    <w:p w14:paraId="260C1A52" w14:textId="77777777" w:rsidR="00805EE5" w:rsidRDefault="00805EE5" w:rsidP="00186CE3">
      <w:pPr>
        <w:pStyle w:val="FootnoteText"/>
        <w:jc w:val="both"/>
      </w:pPr>
      <w:r>
        <w:rPr>
          <w:rStyle w:val="FootnoteReference"/>
        </w:rPr>
        <w:footnoteRef/>
      </w:r>
      <w:r>
        <w:t xml:space="preserve"> For the importance of differentiation see Nicolas (2011) and consider the implications of Schott (2004, p. 647).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B7A1E" w14:textId="46E63C8D" w:rsidR="00805EE5" w:rsidRPr="006F7B76" w:rsidRDefault="006F7B76" w:rsidP="000120B0">
    <w:pPr>
      <w:pStyle w:val="Header"/>
      <w:pBdr>
        <w:bottom w:val="single" w:sz="4" w:space="1" w:color="auto"/>
      </w:pBdr>
      <w:rPr>
        <w:i/>
        <w:iCs/>
        <w:sz w:val="18"/>
        <w:szCs w:val="20"/>
      </w:rPr>
    </w:pPr>
    <w:r>
      <w:rPr>
        <w:i/>
        <w:iCs/>
        <w:sz w:val="18"/>
        <w:szCs w:val="20"/>
      </w:rPr>
      <w:t>Marxist Political Economy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36AFE" w14:textId="7FB86D81" w:rsidR="00805EE5" w:rsidRDefault="00805EE5" w:rsidP="006F7B76">
    <w:pPr>
      <w:pStyle w:val="Header"/>
      <w:pBdr>
        <w:bottom w:val="single" w:sz="4" w:space="1" w:color="auto"/>
      </w:pBdr>
      <w:jc w:val="center"/>
      <w:rPr>
        <w:i/>
        <w:iCs/>
        <w:noProof/>
        <w:sz w:val="18"/>
        <w:szCs w:val="18"/>
      </w:rPr>
    </w:pPr>
    <w:r>
      <w:rPr>
        <w:i/>
        <w:iCs/>
        <w:noProof/>
        <w:sz w:val="18"/>
        <w:szCs w:val="18"/>
      </w:rPr>
      <w:t>The AFEP-IIPPE 10th Annual Conference in Political Economy</w:t>
    </w:r>
  </w:p>
  <w:p w14:paraId="218C4035" w14:textId="77777777" w:rsidR="00805EE5" w:rsidRPr="00A10B5D" w:rsidRDefault="00805EE5" w:rsidP="00A10B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3F46"/>
    <w:multiLevelType w:val="multilevel"/>
    <w:tmpl w:val="2B188482"/>
    <w:lvl w:ilvl="0">
      <w:start w:val="3"/>
      <w:numFmt w:val="decimal"/>
      <w:lvlText w:val="%1."/>
      <w:lvlJc w:val="left"/>
      <w:pPr>
        <w:tabs>
          <w:tab w:val="num" w:pos="600"/>
        </w:tabs>
        <w:ind w:left="600" w:hanging="600"/>
      </w:pPr>
      <w:rPr>
        <w:rFonts w:hint="default"/>
      </w:rPr>
    </w:lvl>
    <w:lvl w:ilvl="1">
      <w:start w:val="2"/>
      <w:numFmt w:val="decimal"/>
      <w:lvlText w:val="%1.%2."/>
      <w:lvlJc w:val="left"/>
      <w:pPr>
        <w:tabs>
          <w:tab w:val="num" w:pos="2033"/>
        </w:tabs>
        <w:ind w:left="2033" w:hanging="600"/>
      </w:pPr>
      <w:rPr>
        <w:rFonts w:hint="default"/>
      </w:rPr>
    </w:lvl>
    <w:lvl w:ilvl="2">
      <w:start w:val="1"/>
      <w:numFmt w:val="decimal"/>
      <w:lvlText w:val="%1.%2.%3."/>
      <w:lvlJc w:val="left"/>
      <w:pPr>
        <w:tabs>
          <w:tab w:val="num" w:pos="3586"/>
        </w:tabs>
        <w:ind w:left="3586" w:hanging="720"/>
      </w:pPr>
      <w:rPr>
        <w:rFonts w:hint="default"/>
      </w:rPr>
    </w:lvl>
    <w:lvl w:ilvl="3">
      <w:start w:val="1"/>
      <w:numFmt w:val="decimal"/>
      <w:lvlText w:val="%1.%2.%3.%4."/>
      <w:lvlJc w:val="left"/>
      <w:pPr>
        <w:tabs>
          <w:tab w:val="num" w:pos="5019"/>
        </w:tabs>
        <w:ind w:left="5019" w:hanging="720"/>
      </w:pPr>
      <w:rPr>
        <w:rFonts w:hint="default"/>
      </w:rPr>
    </w:lvl>
    <w:lvl w:ilvl="4">
      <w:start w:val="1"/>
      <w:numFmt w:val="decimal"/>
      <w:lvlText w:val="%1.%2.%3.%4.%5."/>
      <w:lvlJc w:val="left"/>
      <w:pPr>
        <w:tabs>
          <w:tab w:val="num" w:pos="6812"/>
        </w:tabs>
        <w:ind w:left="6812" w:hanging="1080"/>
      </w:pPr>
      <w:rPr>
        <w:rFonts w:hint="default"/>
      </w:rPr>
    </w:lvl>
    <w:lvl w:ilvl="5">
      <w:start w:val="1"/>
      <w:numFmt w:val="decimal"/>
      <w:lvlText w:val="%1.%2.%3.%4.%5.%6."/>
      <w:lvlJc w:val="left"/>
      <w:pPr>
        <w:tabs>
          <w:tab w:val="num" w:pos="8245"/>
        </w:tabs>
        <w:ind w:left="8245" w:hanging="1080"/>
      </w:pPr>
      <w:rPr>
        <w:rFonts w:hint="default"/>
      </w:rPr>
    </w:lvl>
    <w:lvl w:ilvl="6">
      <w:start w:val="1"/>
      <w:numFmt w:val="decimal"/>
      <w:lvlText w:val="%1.%2.%3.%4.%5.%6.%7."/>
      <w:lvlJc w:val="left"/>
      <w:pPr>
        <w:tabs>
          <w:tab w:val="num" w:pos="10038"/>
        </w:tabs>
        <w:ind w:left="10038" w:hanging="1440"/>
      </w:pPr>
      <w:rPr>
        <w:rFonts w:hint="default"/>
      </w:rPr>
    </w:lvl>
    <w:lvl w:ilvl="7">
      <w:start w:val="1"/>
      <w:numFmt w:val="decimal"/>
      <w:lvlText w:val="%1.%2.%3.%4.%5.%6.%7.%8."/>
      <w:lvlJc w:val="left"/>
      <w:pPr>
        <w:tabs>
          <w:tab w:val="num" w:pos="11471"/>
        </w:tabs>
        <w:ind w:left="11471" w:hanging="1440"/>
      </w:pPr>
      <w:rPr>
        <w:rFonts w:hint="default"/>
      </w:rPr>
    </w:lvl>
    <w:lvl w:ilvl="8">
      <w:start w:val="1"/>
      <w:numFmt w:val="decimal"/>
      <w:lvlText w:val="%1.%2.%3.%4.%5.%6.%7.%8.%9."/>
      <w:lvlJc w:val="left"/>
      <w:pPr>
        <w:tabs>
          <w:tab w:val="num" w:pos="13264"/>
        </w:tabs>
        <w:ind w:left="13264" w:hanging="1800"/>
      </w:pPr>
      <w:rPr>
        <w:rFonts w:hint="default"/>
      </w:rPr>
    </w:lvl>
  </w:abstractNum>
  <w:abstractNum w:abstractNumId="1" w15:restartNumberingAfterBreak="0">
    <w:nsid w:val="04BD666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B696AA0"/>
    <w:multiLevelType w:val="hybridMultilevel"/>
    <w:tmpl w:val="7276AEBA"/>
    <w:lvl w:ilvl="0" w:tplc="82D0DC28">
      <w:start w:val="1"/>
      <w:numFmt w:val="none"/>
      <w:lvlText w:val="6."/>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E097357"/>
    <w:multiLevelType w:val="hybridMultilevel"/>
    <w:tmpl w:val="087847E8"/>
    <w:lvl w:ilvl="0" w:tplc="04090001">
      <w:start w:val="1"/>
      <w:numFmt w:val="bullet"/>
      <w:lvlText w:val=""/>
      <w:lvlJc w:val="left"/>
      <w:pPr>
        <w:tabs>
          <w:tab w:val="num" w:pos="720"/>
        </w:tabs>
        <w:ind w:left="720" w:hanging="360"/>
      </w:pPr>
      <w:rPr>
        <w:rFonts w:ascii="Symbol" w:hAnsi="Symbol" w:cs="Symbol" w:hint="default"/>
      </w:rPr>
    </w:lvl>
    <w:lvl w:ilvl="1" w:tplc="1E949502">
      <w:start w:val="1"/>
      <w:numFmt w:val="bullet"/>
      <w:lvlText w:val=""/>
      <w:lvlJc w:val="left"/>
      <w:pPr>
        <w:tabs>
          <w:tab w:val="num" w:pos="1440"/>
        </w:tabs>
        <w:ind w:left="1440" w:hanging="360"/>
      </w:pPr>
      <w:rPr>
        <w:rFonts w:ascii="Wingdings" w:hAnsi="Wingdings" w:cs="Wingdings" w:hint="default"/>
        <w:color w:val="auto"/>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B8E2C62"/>
    <w:multiLevelType w:val="hybridMultilevel"/>
    <w:tmpl w:val="30B88BA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6FC1197"/>
    <w:multiLevelType w:val="hybridMultilevel"/>
    <w:tmpl w:val="77AC81D8"/>
    <w:lvl w:ilvl="0" w:tplc="B5203324">
      <w:start w:val="759"/>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3B296405"/>
    <w:multiLevelType w:val="multilevel"/>
    <w:tmpl w:val="9A66E40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422A0C91"/>
    <w:multiLevelType w:val="multilevel"/>
    <w:tmpl w:val="30B88BA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427B17CA"/>
    <w:multiLevelType w:val="hybridMultilevel"/>
    <w:tmpl w:val="4F6AEF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47B72F8"/>
    <w:multiLevelType w:val="hybridMultilevel"/>
    <w:tmpl w:val="7436D0F2"/>
    <w:lvl w:ilvl="0" w:tplc="B3AA0684">
      <w:start w:val="776"/>
      <w:numFmt w:val="decimal"/>
      <w:lvlText w:val="%1"/>
      <w:lvlJc w:val="left"/>
      <w:pPr>
        <w:tabs>
          <w:tab w:val="num" w:pos="1800"/>
        </w:tabs>
        <w:ind w:left="1800" w:hanging="144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46212FAB"/>
    <w:multiLevelType w:val="hybridMultilevel"/>
    <w:tmpl w:val="D84C7F5A"/>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1" w15:restartNumberingAfterBreak="0">
    <w:nsid w:val="47C17BAB"/>
    <w:multiLevelType w:val="multilevel"/>
    <w:tmpl w:val="2C8C742E"/>
    <w:lvl w:ilvl="0">
      <w:start w:val="2"/>
      <w:numFmt w:val="decimal"/>
      <w:lvlText w:val="%1."/>
      <w:lvlJc w:val="left"/>
      <w:pPr>
        <w:tabs>
          <w:tab w:val="num" w:pos="480"/>
        </w:tabs>
        <w:ind w:left="480" w:hanging="480"/>
      </w:pPr>
      <w:rPr>
        <w:rFonts w:hint="default"/>
      </w:rPr>
    </w:lvl>
    <w:lvl w:ilvl="1">
      <w:start w:val="5"/>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4A1416EC"/>
    <w:multiLevelType w:val="multilevel"/>
    <w:tmpl w:val="BD80592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4DB85816"/>
    <w:multiLevelType w:val="hybridMultilevel"/>
    <w:tmpl w:val="1FE6FE6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5084DF7"/>
    <w:multiLevelType w:val="multilevel"/>
    <w:tmpl w:val="6AC2ED8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82F447B"/>
    <w:multiLevelType w:val="multilevel"/>
    <w:tmpl w:val="EA5ED048"/>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29A7B90"/>
    <w:multiLevelType w:val="hybridMultilevel"/>
    <w:tmpl w:val="A412D56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F7693F"/>
    <w:multiLevelType w:val="singleLevel"/>
    <w:tmpl w:val="0409000F"/>
    <w:lvl w:ilvl="0">
      <w:start w:val="1"/>
      <w:numFmt w:val="decimal"/>
      <w:lvlText w:val="%1."/>
      <w:lvlJc w:val="left"/>
      <w:pPr>
        <w:tabs>
          <w:tab w:val="num" w:pos="360"/>
        </w:tabs>
        <w:ind w:left="360" w:hanging="360"/>
      </w:pPr>
      <w:rPr>
        <w:rFonts w:hint="default"/>
      </w:rPr>
    </w:lvl>
  </w:abstractNum>
  <w:abstractNum w:abstractNumId="18" w15:restartNumberingAfterBreak="0">
    <w:nsid w:val="63F5010E"/>
    <w:multiLevelType w:val="hybridMultilevel"/>
    <w:tmpl w:val="632037CE"/>
    <w:lvl w:ilvl="0" w:tplc="22A6A870">
      <w:start w:val="87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70E5516A"/>
    <w:multiLevelType w:val="hybridMultilevel"/>
    <w:tmpl w:val="D1E61DD8"/>
    <w:lvl w:ilvl="0" w:tplc="6D18D406">
      <w:start w:val="1"/>
      <w:numFmt w:val="decimal"/>
      <w:lvlText w:val="%1."/>
      <w:lvlJc w:val="left"/>
      <w:pPr>
        <w:ind w:left="3219" w:hanging="360"/>
      </w:pPr>
      <w:rPr>
        <w:rFonts w:hint="default"/>
        <w:i w:val="0"/>
      </w:rPr>
    </w:lvl>
    <w:lvl w:ilvl="1" w:tplc="04090019" w:tentative="1">
      <w:start w:val="1"/>
      <w:numFmt w:val="lowerLetter"/>
      <w:lvlText w:val="%2."/>
      <w:lvlJc w:val="left"/>
      <w:pPr>
        <w:ind w:left="3939" w:hanging="360"/>
      </w:pPr>
    </w:lvl>
    <w:lvl w:ilvl="2" w:tplc="0409001B" w:tentative="1">
      <w:start w:val="1"/>
      <w:numFmt w:val="lowerRoman"/>
      <w:lvlText w:val="%3."/>
      <w:lvlJc w:val="right"/>
      <w:pPr>
        <w:ind w:left="4659" w:hanging="180"/>
      </w:pPr>
    </w:lvl>
    <w:lvl w:ilvl="3" w:tplc="0409000F" w:tentative="1">
      <w:start w:val="1"/>
      <w:numFmt w:val="decimal"/>
      <w:lvlText w:val="%4."/>
      <w:lvlJc w:val="left"/>
      <w:pPr>
        <w:ind w:left="5379" w:hanging="360"/>
      </w:pPr>
    </w:lvl>
    <w:lvl w:ilvl="4" w:tplc="04090019" w:tentative="1">
      <w:start w:val="1"/>
      <w:numFmt w:val="lowerLetter"/>
      <w:lvlText w:val="%5."/>
      <w:lvlJc w:val="left"/>
      <w:pPr>
        <w:ind w:left="6099" w:hanging="360"/>
      </w:pPr>
    </w:lvl>
    <w:lvl w:ilvl="5" w:tplc="0409001B" w:tentative="1">
      <w:start w:val="1"/>
      <w:numFmt w:val="lowerRoman"/>
      <w:lvlText w:val="%6."/>
      <w:lvlJc w:val="right"/>
      <w:pPr>
        <w:ind w:left="6819" w:hanging="180"/>
      </w:pPr>
    </w:lvl>
    <w:lvl w:ilvl="6" w:tplc="0409000F" w:tentative="1">
      <w:start w:val="1"/>
      <w:numFmt w:val="decimal"/>
      <w:lvlText w:val="%7."/>
      <w:lvlJc w:val="left"/>
      <w:pPr>
        <w:ind w:left="7539" w:hanging="360"/>
      </w:pPr>
    </w:lvl>
    <w:lvl w:ilvl="7" w:tplc="04090019" w:tentative="1">
      <w:start w:val="1"/>
      <w:numFmt w:val="lowerLetter"/>
      <w:lvlText w:val="%8."/>
      <w:lvlJc w:val="left"/>
      <w:pPr>
        <w:ind w:left="8259" w:hanging="360"/>
      </w:pPr>
    </w:lvl>
    <w:lvl w:ilvl="8" w:tplc="0409001B" w:tentative="1">
      <w:start w:val="1"/>
      <w:numFmt w:val="lowerRoman"/>
      <w:lvlText w:val="%9."/>
      <w:lvlJc w:val="right"/>
      <w:pPr>
        <w:ind w:left="8979" w:hanging="180"/>
      </w:pPr>
    </w:lvl>
  </w:abstractNum>
  <w:abstractNum w:abstractNumId="20" w15:restartNumberingAfterBreak="0">
    <w:nsid w:val="7D365DE4"/>
    <w:multiLevelType w:val="multilevel"/>
    <w:tmpl w:val="1F763A1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9"/>
  </w:num>
  <w:num w:numId="2">
    <w:abstractNumId w:val="5"/>
  </w:num>
  <w:num w:numId="3">
    <w:abstractNumId w:val="18"/>
  </w:num>
  <w:num w:numId="4">
    <w:abstractNumId w:val="8"/>
  </w:num>
  <w:num w:numId="5">
    <w:abstractNumId w:val="10"/>
  </w:num>
  <w:num w:numId="6">
    <w:abstractNumId w:val="17"/>
  </w:num>
  <w:num w:numId="7">
    <w:abstractNumId w:val="1"/>
  </w:num>
  <w:num w:numId="8">
    <w:abstractNumId w:val="3"/>
  </w:num>
  <w:num w:numId="9">
    <w:abstractNumId w:val="15"/>
  </w:num>
  <w:num w:numId="10">
    <w:abstractNumId w:val="11"/>
  </w:num>
  <w:num w:numId="11">
    <w:abstractNumId w:val="14"/>
  </w:num>
  <w:num w:numId="12">
    <w:abstractNumId w:val="0"/>
  </w:num>
  <w:num w:numId="13">
    <w:abstractNumId w:val="4"/>
  </w:num>
  <w:num w:numId="14">
    <w:abstractNumId w:val="19"/>
  </w:num>
  <w:num w:numId="15">
    <w:abstractNumId w:val="6"/>
  </w:num>
  <w:num w:numId="16">
    <w:abstractNumId w:val="12"/>
  </w:num>
  <w:num w:numId="17">
    <w:abstractNumId w:val="20"/>
  </w:num>
  <w:num w:numId="18">
    <w:abstractNumId w:val="16"/>
  </w:num>
  <w:num w:numId="19">
    <w:abstractNumId w:val="13"/>
  </w:num>
  <w:num w:numId="20">
    <w:abstractNumId w:val="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08F2"/>
    <w:rsid w:val="00007028"/>
    <w:rsid w:val="000120B0"/>
    <w:rsid w:val="00021AFE"/>
    <w:rsid w:val="00051A94"/>
    <w:rsid w:val="000632EE"/>
    <w:rsid w:val="00092C9F"/>
    <w:rsid w:val="00097B78"/>
    <w:rsid w:val="001447C2"/>
    <w:rsid w:val="00181932"/>
    <w:rsid w:val="00186CE3"/>
    <w:rsid w:val="001A1B0A"/>
    <w:rsid w:val="001C5728"/>
    <w:rsid w:val="002843B1"/>
    <w:rsid w:val="002961E5"/>
    <w:rsid w:val="00301CC1"/>
    <w:rsid w:val="00305EE6"/>
    <w:rsid w:val="00331142"/>
    <w:rsid w:val="00336472"/>
    <w:rsid w:val="003708C8"/>
    <w:rsid w:val="003B6D30"/>
    <w:rsid w:val="00466D43"/>
    <w:rsid w:val="00487A3A"/>
    <w:rsid w:val="004A0437"/>
    <w:rsid w:val="004E5462"/>
    <w:rsid w:val="004F4E5F"/>
    <w:rsid w:val="005032E0"/>
    <w:rsid w:val="0050479B"/>
    <w:rsid w:val="00595FF3"/>
    <w:rsid w:val="00647D48"/>
    <w:rsid w:val="00654F2D"/>
    <w:rsid w:val="00666D38"/>
    <w:rsid w:val="00670630"/>
    <w:rsid w:val="006A63EC"/>
    <w:rsid w:val="006D5876"/>
    <w:rsid w:val="006F7B76"/>
    <w:rsid w:val="007107DE"/>
    <w:rsid w:val="00716344"/>
    <w:rsid w:val="0078300A"/>
    <w:rsid w:val="00795EE5"/>
    <w:rsid w:val="007A2A61"/>
    <w:rsid w:val="007A483B"/>
    <w:rsid w:val="007A63CB"/>
    <w:rsid w:val="007C4B15"/>
    <w:rsid w:val="007D32E2"/>
    <w:rsid w:val="007E350D"/>
    <w:rsid w:val="007F7808"/>
    <w:rsid w:val="00805EE5"/>
    <w:rsid w:val="008D48B8"/>
    <w:rsid w:val="008D771B"/>
    <w:rsid w:val="008F72AC"/>
    <w:rsid w:val="009434EB"/>
    <w:rsid w:val="00956C46"/>
    <w:rsid w:val="00961DCB"/>
    <w:rsid w:val="00987591"/>
    <w:rsid w:val="009A0017"/>
    <w:rsid w:val="009B624A"/>
    <w:rsid w:val="009C659D"/>
    <w:rsid w:val="009F52BB"/>
    <w:rsid w:val="00A06222"/>
    <w:rsid w:val="00A10B5D"/>
    <w:rsid w:val="00A11AD8"/>
    <w:rsid w:val="00A478A2"/>
    <w:rsid w:val="00A62D13"/>
    <w:rsid w:val="00A62FAB"/>
    <w:rsid w:val="00AA3903"/>
    <w:rsid w:val="00B22CD5"/>
    <w:rsid w:val="00B262F3"/>
    <w:rsid w:val="00BB24FB"/>
    <w:rsid w:val="00BD7DCE"/>
    <w:rsid w:val="00BE6FFE"/>
    <w:rsid w:val="00C1420E"/>
    <w:rsid w:val="00C521F2"/>
    <w:rsid w:val="00CE6038"/>
    <w:rsid w:val="00D00498"/>
    <w:rsid w:val="00D51097"/>
    <w:rsid w:val="00D52E44"/>
    <w:rsid w:val="00D65E8F"/>
    <w:rsid w:val="00D7606A"/>
    <w:rsid w:val="00DB19D9"/>
    <w:rsid w:val="00DC1C9B"/>
    <w:rsid w:val="00E02590"/>
    <w:rsid w:val="00E708F2"/>
    <w:rsid w:val="00E71721"/>
    <w:rsid w:val="00E8795E"/>
    <w:rsid w:val="00E977A9"/>
    <w:rsid w:val="00F036F0"/>
    <w:rsid w:val="00F27CB1"/>
    <w:rsid w:val="00F509AC"/>
    <w:rsid w:val="00F7775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A896C22"/>
  <w15:docId w15:val="{71AFAC1E-9657-4961-A90E-12CADB32E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05EE6"/>
    <w:rPr>
      <w:sz w:val="24"/>
      <w:szCs w:val="24"/>
      <w:lang w:val="en-US" w:eastAsia="en-US"/>
    </w:rPr>
  </w:style>
  <w:style w:type="paragraph" w:styleId="Heading1">
    <w:name w:val="heading 1"/>
    <w:basedOn w:val="Normal"/>
    <w:next w:val="Normal"/>
    <w:qFormat/>
    <w:rsid w:val="00305EE6"/>
    <w:pPr>
      <w:keepNext/>
      <w:jc w:val="center"/>
      <w:outlineLvl w:val="0"/>
    </w:pPr>
    <w:rPr>
      <w:b/>
      <w:bCs/>
      <w:lang w:val="en-GB"/>
    </w:rPr>
  </w:style>
  <w:style w:type="paragraph" w:styleId="Heading2">
    <w:name w:val="heading 2"/>
    <w:basedOn w:val="Normal"/>
    <w:next w:val="Normal"/>
    <w:qFormat/>
    <w:rsid w:val="00305EE6"/>
    <w:pPr>
      <w:keepNext/>
      <w:outlineLvl w:val="1"/>
    </w:pPr>
    <w:rPr>
      <w:b/>
      <w:bCs/>
      <w:lang w:val="en-GB"/>
    </w:rPr>
  </w:style>
  <w:style w:type="paragraph" w:styleId="Heading3">
    <w:name w:val="heading 3"/>
    <w:basedOn w:val="Normal"/>
    <w:next w:val="Normal"/>
    <w:qFormat/>
    <w:rsid w:val="00305EE6"/>
    <w:pPr>
      <w:keepNext/>
      <w:spacing w:before="24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305EE6"/>
    <w:rPr>
      <w:vertAlign w:val="superscript"/>
    </w:rPr>
  </w:style>
  <w:style w:type="character" w:styleId="Hyperlink">
    <w:name w:val="Hyperlink"/>
    <w:basedOn w:val="DefaultParagraphFont"/>
    <w:uiPriority w:val="99"/>
    <w:rsid w:val="00305EE6"/>
    <w:rPr>
      <w:color w:val="0000FF"/>
      <w:u w:val="single"/>
    </w:rPr>
  </w:style>
  <w:style w:type="paragraph" w:styleId="FootnoteText">
    <w:name w:val="footnote text"/>
    <w:basedOn w:val="Normal"/>
    <w:link w:val="FootnoteTextChar"/>
    <w:uiPriority w:val="99"/>
    <w:semiHidden/>
    <w:rsid w:val="00305EE6"/>
    <w:rPr>
      <w:sz w:val="20"/>
      <w:szCs w:val="20"/>
    </w:rPr>
  </w:style>
  <w:style w:type="character" w:styleId="PageNumber">
    <w:name w:val="page number"/>
    <w:basedOn w:val="DefaultParagraphFont"/>
    <w:uiPriority w:val="99"/>
    <w:rsid w:val="00305EE6"/>
  </w:style>
  <w:style w:type="paragraph" w:styleId="Footer">
    <w:name w:val="footer"/>
    <w:basedOn w:val="Normal"/>
    <w:link w:val="FooterChar"/>
    <w:uiPriority w:val="99"/>
    <w:rsid w:val="00305EE6"/>
    <w:pPr>
      <w:tabs>
        <w:tab w:val="center" w:pos="4536"/>
        <w:tab w:val="right" w:pos="9072"/>
      </w:tabs>
    </w:pPr>
  </w:style>
  <w:style w:type="paragraph" w:styleId="BodyText">
    <w:name w:val="Body Text"/>
    <w:basedOn w:val="Normal"/>
    <w:rsid w:val="00305EE6"/>
    <w:pPr>
      <w:jc w:val="center"/>
    </w:pPr>
    <w:rPr>
      <w:b/>
      <w:sz w:val="28"/>
      <w:lang w:val="en-GB"/>
    </w:rPr>
  </w:style>
  <w:style w:type="paragraph" w:styleId="Header">
    <w:name w:val="header"/>
    <w:basedOn w:val="Normal"/>
    <w:link w:val="HeaderChar"/>
    <w:rsid w:val="00305EE6"/>
    <w:pPr>
      <w:tabs>
        <w:tab w:val="center" w:pos="4536"/>
        <w:tab w:val="right" w:pos="9072"/>
      </w:tabs>
    </w:pPr>
  </w:style>
  <w:style w:type="paragraph" w:styleId="BodyTextIndent">
    <w:name w:val="Body Text Indent"/>
    <w:basedOn w:val="Normal"/>
    <w:rsid w:val="00305EE6"/>
    <w:pPr>
      <w:ind w:left="540" w:hanging="540"/>
    </w:pPr>
    <w:rPr>
      <w:lang w:val="en-GB"/>
    </w:rPr>
  </w:style>
  <w:style w:type="character" w:styleId="FollowedHyperlink">
    <w:name w:val="FollowedHyperlink"/>
    <w:basedOn w:val="DefaultParagraphFont"/>
    <w:rsid w:val="00305EE6"/>
    <w:rPr>
      <w:color w:val="800080"/>
      <w:u w:val="single"/>
    </w:rPr>
  </w:style>
  <w:style w:type="character" w:customStyle="1" w:styleId="HeaderChar">
    <w:name w:val="Header Char"/>
    <w:basedOn w:val="DefaultParagraphFont"/>
    <w:link w:val="Header"/>
    <w:rsid w:val="00A10B5D"/>
    <w:rPr>
      <w:sz w:val="24"/>
      <w:szCs w:val="24"/>
      <w:lang w:val="en-US" w:eastAsia="en-US"/>
    </w:rPr>
  </w:style>
  <w:style w:type="paragraph" w:styleId="ListParagraph">
    <w:name w:val="List Paragraph"/>
    <w:basedOn w:val="Normal"/>
    <w:uiPriority w:val="34"/>
    <w:qFormat/>
    <w:rsid w:val="00186CE3"/>
    <w:pPr>
      <w:ind w:left="720"/>
      <w:contextualSpacing/>
    </w:pPr>
    <w:rPr>
      <w:lang w:val="hr-HR"/>
    </w:rPr>
  </w:style>
  <w:style w:type="character" w:customStyle="1" w:styleId="FooterChar">
    <w:name w:val="Footer Char"/>
    <w:basedOn w:val="DefaultParagraphFont"/>
    <w:link w:val="Footer"/>
    <w:uiPriority w:val="99"/>
    <w:rsid w:val="00186CE3"/>
    <w:rPr>
      <w:sz w:val="24"/>
      <w:szCs w:val="24"/>
      <w:lang w:val="en-US" w:eastAsia="en-US"/>
    </w:rPr>
  </w:style>
  <w:style w:type="character" w:styleId="PlaceholderText">
    <w:name w:val="Placeholder Text"/>
    <w:basedOn w:val="DefaultParagraphFont"/>
    <w:uiPriority w:val="99"/>
    <w:semiHidden/>
    <w:rsid w:val="00186CE3"/>
    <w:rPr>
      <w:color w:val="808080"/>
    </w:rPr>
  </w:style>
  <w:style w:type="character" w:styleId="UnresolvedMention">
    <w:name w:val="Unresolved Mention"/>
    <w:basedOn w:val="DefaultParagraphFont"/>
    <w:uiPriority w:val="99"/>
    <w:semiHidden/>
    <w:unhideWhenUsed/>
    <w:rsid w:val="00186CE3"/>
    <w:rPr>
      <w:color w:val="605E5C"/>
      <w:shd w:val="clear" w:color="auto" w:fill="E1DFDD"/>
    </w:rPr>
  </w:style>
  <w:style w:type="character" w:customStyle="1" w:styleId="FootnoteTextChar">
    <w:name w:val="Footnote Text Char"/>
    <w:basedOn w:val="DefaultParagraphFont"/>
    <w:link w:val="FootnoteText"/>
    <w:uiPriority w:val="99"/>
    <w:semiHidden/>
    <w:rsid w:val="00186CE3"/>
    <w:rPr>
      <w:lang w:val="en-US" w:eastAsia="en-US"/>
    </w:rPr>
  </w:style>
  <w:style w:type="character" w:customStyle="1" w:styleId="5yl5">
    <w:name w:val="_5yl5"/>
    <w:basedOn w:val="DefaultParagraphFont"/>
    <w:rsid w:val="00186CE3"/>
  </w:style>
  <w:style w:type="character" w:customStyle="1" w:styleId="shorttext">
    <w:name w:val="short_text"/>
    <w:basedOn w:val="DefaultParagraphFont"/>
    <w:rsid w:val="00186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97632">
      <w:bodyDiv w:val="1"/>
      <w:marLeft w:val="0"/>
      <w:marRight w:val="0"/>
      <w:marTop w:val="0"/>
      <w:marBottom w:val="0"/>
      <w:divBdr>
        <w:top w:val="none" w:sz="0" w:space="0" w:color="auto"/>
        <w:left w:val="none" w:sz="0" w:space="0" w:color="auto"/>
        <w:bottom w:val="none" w:sz="0" w:space="0" w:color="auto"/>
        <w:right w:val="none" w:sz="0" w:space="0" w:color="auto"/>
      </w:divBdr>
    </w:div>
    <w:div w:id="636036177">
      <w:bodyDiv w:val="1"/>
      <w:marLeft w:val="0"/>
      <w:marRight w:val="0"/>
      <w:marTop w:val="0"/>
      <w:marBottom w:val="0"/>
      <w:divBdr>
        <w:top w:val="none" w:sz="0" w:space="0" w:color="auto"/>
        <w:left w:val="none" w:sz="0" w:space="0" w:color="auto"/>
        <w:bottom w:val="none" w:sz="0" w:space="0" w:color="auto"/>
        <w:right w:val="none" w:sz="0" w:space="0" w:color="auto"/>
      </w:divBdr>
    </w:div>
    <w:div w:id="996612827">
      <w:bodyDiv w:val="1"/>
      <w:marLeft w:val="0"/>
      <w:marRight w:val="0"/>
      <w:marTop w:val="0"/>
      <w:marBottom w:val="0"/>
      <w:divBdr>
        <w:top w:val="none" w:sz="0" w:space="0" w:color="auto"/>
        <w:left w:val="none" w:sz="0" w:space="0" w:color="auto"/>
        <w:bottom w:val="none" w:sz="0" w:space="0" w:color="auto"/>
        <w:right w:val="none" w:sz="0" w:space="0" w:color="auto"/>
      </w:divBdr>
    </w:div>
    <w:div w:id="1213616512">
      <w:bodyDiv w:val="1"/>
      <w:marLeft w:val="0"/>
      <w:marRight w:val="0"/>
      <w:marTop w:val="0"/>
      <w:marBottom w:val="0"/>
      <w:divBdr>
        <w:top w:val="none" w:sz="0" w:space="0" w:color="auto"/>
        <w:left w:val="none" w:sz="0" w:space="0" w:color="auto"/>
        <w:bottom w:val="none" w:sz="0" w:space="0" w:color="auto"/>
        <w:right w:val="none" w:sz="0" w:space="0" w:color="auto"/>
      </w:divBdr>
    </w:div>
    <w:div w:id="131992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AF953-EA1A-4840-9D9E-130982888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19</Pages>
  <Words>8896</Words>
  <Characters>53822</Characters>
  <Application>Microsoft Office Word</Application>
  <DocSecurity>0</DocSecurity>
  <Lines>1281</Lines>
  <Paragraphs>764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61954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Ivan Rubinić</cp:lastModifiedBy>
  <cp:revision>30</cp:revision>
  <cp:lastPrinted>2003-05-15T05:54:00Z</cp:lastPrinted>
  <dcterms:created xsi:type="dcterms:W3CDTF">2016-06-30T10:55:00Z</dcterms:created>
  <dcterms:modified xsi:type="dcterms:W3CDTF">2019-04-02T10:43:00Z</dcterms:modified>
  <cp:category/>
</cp:coreProperties>
</file>