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AE" w:rsidRDefault="00BD69AE" w:rsidP="00BD69A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bCs/>
          <w:sz w:val="28"/>
          <w:szCs w:val="24"/>
        </w:rPr>
      </w:pPr>
      <w:r w:rsidRPr="00BD69AE">
        <w:rPr>
          <w:rFonts w:cs="Times-Roman"/>
          <w:b/>
          <w:bCs/>
          <w:sz w:val="28"/>
          <w:szCs w:val="24"/>
        </w:rPr>
        <w:t xml:space="preserve">Une analyse mésoéconomique de l’enseignement supérieur </w:t>
      </w:r>
    </w:p>
    <w:p w:rsidR="00BD69AE" w:rsidRPr="00BD69AE" w:rsidRDefault="00BD69AE" w:rsidP="00BD69A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bCs/>
          <w:sz w:val="28"/>
          <w:szCs w:val="24"/>
        </w:rPr>
      </w:pPr>
      <w:proofErr w:type="gramStart"/>
      <w:r w:rsidRPr="00BD69AE">
        <w:rPr>
          <w:rFonts w:cs="Times-Roman"/>
          <w:b/>
          <w:bCs/>
          <w:sz w:val="28"/>
          <w:szCs w:val="24"/>
        </w:rPr>
        <w:t>à</w:t>
      </w:r>
      <w:proofErr w:type="gramEnd"/>
      <w:r w:rsidRPr="00BD69AE">
        <w:rPr>
          <w:rFonts w:cs="Times-Roman"/>
          <w:b/>
          <w:bCs/>
          <w:sz w:val="28"/>
          <w:szCs w:val="24"/>
        </w:rPr>
        <w:t xml:space="preserve"> partir du cas de la France</w:t>
      </w:r>
    </w:p>
    <w:p w:rsidR="00BD69AE" w:rsidRDefault="00BD69AE" w:rsidP="00BD69AE">
      <w:pPr>
        <w:autoSpaceDE w:val="0"/>
        <w:autoSpaceDN w:val="0"/>
        <w:adjustRightInd w:val="0"/>
        <w:spacing w:after="0" w:line="240" w:lineRule="auto"/>
        <w:rPr>
          <w:rFonts w:cs="Times-Roman"/>
          <w:bCs/>
          <w:sz w:val="24"/>
          <w:szCs w:val="24"/>
        </w:rPr>
      </w:pPr>
    </w:p>
    <w:p w:rsidR="00BD69AE" w:rsidRPr="00BD69AE" w:rsidRDefault="00BD69AE" w:rsidP="00BD69AE">
      <w:pPr>
        <w:autoSpaceDE w:val="0"/>
        <w:autoSpaceDN w:val="0"/>
        <w:adjustRightInd w:val="0"/>
        <w:spacing w:after="0" w:line="240" w:lineRule="auto"/>
        <w:rPr>
          <w:rFonts w:cs="Times-Roman"/>
          <w:bCs/>
          <w:sz w:val="24"/>
          <w:szCs w:val="24"/>
        </w:rPr>
      </w:pPr>
    </w:p>
    <w:p w:rsidR="007D4406" w:rsidRDefault="00BD69AE" w:rsidP="00BD69AE">
      <w:pPr>
        <w:autoSpaceDE w:val="0"/>
        <w:autoSpaceDN w:val="0"/>
        <w:adjustRightInd w:val="0"/>
        <w:spacing w:after="0" w:line="240" w:lineRule="auto"/>
        <w:rPr>
          <w:rFonts w:cs="Times-Roman"/>
          <w:bCs/>
          <w:sz w:val="24"/>
          <w:szCs w:val="24"/>
        </w:rPr>
      </w:pPr>
      <w:r w:rsidRPr="00BD69AE">
        <w:rPr>
          <w:rFonts w:cs="Times-Roman"/>
          <w:bCs/>
          <w:sz w:val="24"/>
          <w:szCs w:val="24"/>
        </w:rPr>
        <w:t xml:space="preserve">Thomas Lamarche, </w:t>
      </w:r>
    </w:p>
    <w:p w:rsidR="00BD69AE" w:rsidRPr="00BD69AE" w:rsidRDefault="00BD69AE" w:rsidP="00BD69AE">
      <w:pPr>
        <w:autoSpaceDE w:val="0"/>
        <w:autoSpaceDN w:val="0"/>
        <w:adjustRightInd w:val="0"/>
        <w:spacing w:after="0" w:line="240" w:lineRule="auto"/>
        <w:rPr>
          <w:rFonts w:cs="Times-Roman"/>
          <w:bCs/>
          <w:sz w:val="24"/>
          <w:szCs w:val="24"/>
        </w:rPr>
      </w:pPr>
      <w:r w:rsidRPr="00BD69AE">
        <w:rPr>
          <w:rFonts w:cs="Times-Roman"/>
          <w:bCs/>
          <w:sz w:val="24"/>
          <w:szCs w:val="24"/>
        </w:rPr>
        <w:t>Université Paris Diderot, UMR LADYSS</w:t>
      </w:r>
      <w:r>
        <w:rPr>
          <w:rFonts w:cs="Times-Roman"/>
          <w:bCs/>
          <w:sz w:val="24"/>
          <w:szCs w:val="24"/>
        </w:rPr>
        <w:t>, professeur des universités</w:t>
      </w:r>
    </w:p>
    <w:p w:rsidR="00BD69AE" w:rsidRPr="00BD69AE" w:rsidRDefault="000E1720" w:rsidP="00BD69AE">
      <w:pPr>
        <w:autoSpaceDE w:val="0"/>
        <w:autoSpaceDN w:val="0"/>
        <w:adjustRightInd w:val="0"/>
        <w:spacing w:after="0" w:line="240" w:lineRule="auto"/>
        <w:rPr>
          <w:rFonts w:cs="Times-Roman"/>
          <w:bCs/>
          <w:sz w:val="24"/>
          <w:szCs w:val="24"/>
        </w:rPr>
      </w:pPr>
      <w:hyperlink r:id="rId6" w:history="1">
        <w:r w:rsidR="00BD69AE" w:rsidRPr="00BD69AE">
          <w:rPr>
            <w:rStyle w:val="Lienhypertexte"/>
            <w:rFonts w:cs="Times-Roman"/>
            <w:bCs/>
            <w:sz w:val="24"/>
            <w:szCs w:val="24"/>
          </w:rPr>
          <w:t>thomas.lamarche@univ-paris-diderot.fr</w:t>
        </w:r>
      </w:hyperlink>
      <w:r w:rsidR="00BD69AE" w:rsidRPr="00BD69AE">
        <w:rPr>
          <w:rFonts w:cs="Times-Roman"/>
          <w:bCs/>
          <w:sz w:val="24"/>
          <w:szCs w:val="24"/>
        </w:rPr>
        <w:t xml:space="preserve"> </w:t>
      </w:r>
    </w:p>
    <w:p w:rsidR="007D4406" w:rsidRDefault="007D4406" w:rsidP="00BD69AE">
      <w:pPr>
        <w:autoSpaceDE w:val="0"/>
        <w:autoSpaceDN w:val="0"/>
        <w:adjustRightInd w:val="0"/>
        <w:spacing w:after="0" w:line="240" w:lineRule="auto"/>
        <w:rPr>
          <w:rFonts w:cs="Times-Roman"/>
          <w:bCs/>
          <w:sz w:val="24"/>
          <w:szCs w:val="24"/>
        </w:rPr>
      </w:pPr>
    </w:p>
    <w:p w:rsidR="007D4406" w:rsidRDefault="00BD69AE" w:rsidP="00BD69AE">
      <w:pPr>
        <w:autoSpaceDE w:val="0"/>
        <w:autoSpaceDN w:val="0"/>
        <w:adjustRightInd w:val="0"/>
        <w:spacing w:after="0" w:line="240" w:lineRule="auto"/>
        <w:rPr>
          <w:rFonts w:cs="Times-Roman"/>
          <w:bCs/>
          <w:sz w:val="24"/>
          <w:szCs w:val="24"/>
        </w:rPr>
      </w:pPr>
      <w:r w:rsidRPr="00BD69AE">
        <w:rPr>
          <w:rFonts w:cs="Times-Roman"/>
          <w:bCs/>
          <w:sz w:val="24"/>
          <w:szCs w:val="24"/>
        </w:rPr>
        <w:t xml:space="preserve">Sandrine Michel Université de Montpellier, </w:t>
      </w:r>
    </w:p>
    <w:p w:rsidR="00BD69AE" w:rsidRPr="00BD69AE" w:rsidRDefault="00BD69AE" w:rsidP="00BD69AE">
      <w:pPr>
        <w:autoSpaceDE w:val="0"/>
        <w:autoSpaceDN w:val="0"/>
        <w:adjustRightInd w:val="0"/>
        <w:spacing w:after="0" w:line="240" w:lineRule="auto"/>
        <w:rPr>
          <w:rFonts w:cs="Times-Roman"/>
          <w:bCs/>
          <w:sz w:val="24"/>
          <w:szCs w:val="24"/>
        </w:rPr>
      </w:pPr>
      <w:r w:rsidRPr="00BD69AE">
        <w:rPr>
          <w:rFonts w:cs="Times-Roman"/>
          <w:bCs/>
          <w:sz w:val="24"/>
          <w:szCs w:val="24"/>
        </w:rPr>
        <w:t>UMR ART-DEV</w:t>
      </w:r>
      <w:r>
        <w:rPr>
          <w:rFonts w:cs="Times-Roman"/>
          <w:bCs/>
          <w:sz w:val="24"/>
          <w:szCs w:val="24"/>
        </w:rPr>
        <w:t>,</w:t>
      </w:r>
      <w:r w:rsidRPr="00BD69AE">
        <w:rPr>
          <w:rFonts w:cs="Times-Roman"/>
          <w:bCs/>
          <w:sz w:val="24"/>
          <w:szCs w:val="24"/>
        </w:rPr>
        <w:t xml:space="preserve"> </w:t>
      </w:r>
      <w:r>
        <w:rPr>
          <w:rFonts w:cs="Times-Roman"/>
          <w:bCs/>
          <w:sz w:val="24"/>
          <w:szCs w:val="24"/>
        </w:rPr>
        <w:t>professeure des universités</w:t>
      </w:r>
    </w:p>
    <w:p w:rsidR="00BD69AE" w:rsidRPr="00BD69AE" w:rsidRDefault="000E1720" w:rsidP="00BD69AE">
      <w:pPr>
        <w:autoSpaceDE w:val="0"/>
        <w:autoSpaceDN w:val="0"/>
        <w:adjustRightInd w:val="0"/>
        <w:spacing w:after="0" w:line="240" w:lineRule="auto"/>
        <w:rPr>
          <w:rFonts w:cs="Times-Roman"/>
          <w:bCs/>
          <w:sz w:val="24"/>
          <w:szCs w:val="24"/>
        </w:rPr>
      </w:pPr>
      <w:hyperlink r:id="rId7" w:history="1">
        <w:r w:rsidR="00BD69AE" w:rsidRPr="00BD69AE">
          <w:rPr>
            <w:rStyle w:val="Lienhypertexte"/>
            <w:rFonts w:cs="Times-Roman"/>
            <w:bCs/>
            <w:sz w:val="24"/>
            <w:szCs w:val="24"/>
          </w:rPr>
          <w:t>sandrine.michel@umontpellier.fr</w:t>
        </w:r>
      </w:hyperlink>
      <w:r w:rsidR="00BD69AE" w:rsidRPr="00BD69AE">
        <w:rPr>
          <w:rFonts w:cs="Times-Roman"/>
          <w:bCs/>
          <w:sz w:val="24"/>
          <w:szCs w:val="24"/>
        </w:rPr>
        <w:t xml:space="preserve"> </w:t>
      </w:r>
    </w:p>
    <w:p w:rsidR="00BD69AE" w:rsidRDefault="00BD69AE" w:rsidP="00BD69A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D69AE" w:rsidRPr="00BD69AE" w:rsidRDefault="00BD69AE" w:rsidP="00BD69A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D69AE" w:rsidRDefault="00BD69AE" w:rsidP="00BD69AE">
      <w:pPr>
        <w:autoSpaceDE w:val="0"/>
        <w:autoSpaceDN w:val="0"/>
        <w:adjustRightInd w:val="0"/>
        <w:spacing w:after="0" w:line="240" w:lineRule="auto"/>
        <w:rPr>
          <w:rFonts w:cs="Symbol"/>
          <w:color w:val="A6A6A6" w:themeColor="background1" w:themeShade="A6"/>
          <w:sz w:val="24"/>
          <w:szCs w:val="24"/>
        </w:rPr>
      </w:pPr>
      <w:r>
        <w:rPr>
          <w:rFonts w:cs="Symbol"/>
          <w:sz w:val="24"/>
          <w:szCs w:val="24"/>
        </w:rPr>
        <w:br w:type="column"/>
      </w:r>
    </w:p>
    <w:p w:rsidR="000E1720" w:rsidRPr="000E1720" w:rsidRDefault="000E1720" w:rsidP="000E1720">
      <w:pPr>
        <w:spacing w:after="120" w:line="240" w:lineRule="auto"/>
        <w:jc w:val="both"/>
        <w:rPr>
          <w:b/>
        </w:rPr>
      </w:pPr>
      <w:bookmarkStart w:id="0" w:name="_GoBack"/>
      <w:r w:rsidRPr="000E1720">
        <w:rPr>
          <w:b/>
        </w:rPr>
        <w:t>Résumé</w:t>
      </w:r>
    </w:p>
    <w:bookmarkEnd w:id="0"/>
    <w:p w:rsidR="006B10D3" w:rsidRDefault="006B10D3" w:rsidP="006B10D3">
      <w:pPr>
        <w:spacing w:after="120" w:line="240" w:lineRule="auto"/>
        <w:jc w:val="both"/>
      </w:pPr>
      <w:r>
        <w:t>L’objet de la contribution est de s</w:t>
      </w:r>
      <w:r w:rsidRPr="00BD69AE">
        <w:t>ais</w:t>
      </w:r>
      <w:r>
        <w:t xml:space="preserve">ir les structures et la dynamique historique </w:t>
      </w:r>
      <w:r w:rsidRPr="00BD69AE">
        <w:t>d’une régulation sectorielle de l’éducation, en focalisant sur l’enseignement supérieur</w:t>
      </w:r>
      <w:r>
        <w:t>. La focalisation sur l’ESR permet d’interroger de façon critique les thèses et les conditions d’un capitalisme basé sur la connaissance</w:t>
      </w:r>
      <w:r w:rsidR="00A97BFA">
        <w:t>, pris en tension du régime néolibéral.</w:t>
      </w:r>
    </w:p>
    <w:p w:rsidR="006B10D3" w:rsidRDefault="006B10D3" w:rsidP="00A97BFA">
      <w:pPr>
        <w:spacing w:after="120" w:line="240" w:lineRule="auto"/>
        <w:jc w:val="both"/>
      </w:pPr>
      <w:r>
        <w:t xml:space="preserve">La démarche se nourrit de deux perspectives : l’une consistant à rendre compte des régulations mésoéconomiques de l’ESR et de la rupture néolibérale, l’autre visant à caractériser </w:t>
      </w:r>
      <w:r w:rsidR="00A97BFA">
        <w:t>la</w:t>
      </w:r>
      <w:r w:rsidRPr="00BD69AE">
        <w:t xml:space="preserve"> rupture dans la trajectoire</w:t>
      </w:r>
      <w:r>
        <w:t xml:space="preserve"> historique et dans le rôle social ou socio-économique </w:t>
      </w:r>
      <w:r w:rsidR="00A97BFA">
        <w:t>de l’ESR. Il s’agit notamment de m</w:t>
      </w:r>
      <w:r w:rsidRPr="00BD69AE">
        <w:t xml:space="preserve">ontrer les contradictions qui pèsent sur la transformation </w:t>
      </w:r>
      <w:r w:rsidR="00A97BFA">
        <w:t>du</w:t>
      </w:r>
      <w:r>
        <w:t xml:space="preserve"> périmètre de ce secteur, sur les conditions de sa reproduction</w:t>
      </w:r>
      <w:r w:rsidR="00A97BFA">
        <w:t xml:space="preserve">. </w:t>
      </w:r>
      <w:r>
        <w:t>En situant</w:t>
      </w:r>
      <w:r w:rsidRPr="00BD69AE">
        <w:t xml:space="preserve"> </w:t>
      </w:r>
      <w:r w:rsidR="00A97BFA">
        <w:t>notre</w:t>
      </w:r>
      <w:r w:rsidRPr="00BD69AE">
        <w:t xml:space="preserve"> méso </w:t>
      </w:r>
      <w:r w:rsidR="00A97BFA">
        <w:t>dans ses interactions avec</w:t>
      </w:r>
      <w:r w:rsidRPr="00BD69AE">
        <w:t xml:space="preserve"> </w:t>
      </w:r>
      <w:r>
        <w:t>les dynamiques</w:t>
      </w:r>
      <w:r w:rsidRPr="00BD69AE">
        <w:t xml:space="preserve"> macro</w:t>
      </w:r>
      <w:r>
        <w:t xml:space="preserve">, on montre comment se pose la question du rôle de l’éducation dans la croissance. Ce qui suppose de tenir conjointement les dynamiques du </w:t>
      </w:r>
      <w:r w:rsidRPr="00BD69AE">
        <w:t>Rapport salarial</w:t>
      </w:r>
      <w:r>
        <w:t xml:space="preserve"> de l’</w:t>
      </w:r>
      <w:r w:rsidRPr="00BD69AE">
        <w:t xml:space="preserve">Accumulation </w:t>
      </w:r>
      <w:r>
        <w:t>et de la Régulation sectorielle.</w:t>
      </w:r>
    </w:p>
    <w:p w:rsidR="00BD69AE" w:rsidRDefault="00BD69AE" w:rsidP="00BD69AE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</w:p>
    <w:p w:rsidR="000E1720" w:rsidRDefault="000E1720" w:rsidP="00BD69AE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 xml:space="preserve">Mots clé : </w:t>
      </w:r>
      <w:r>
        <w:t>Régulation, mésoéconomie, Education, Enseignement supérieur et recherche,</w:t>
      </w:r>
    </w:p>
    <w:p w:rsidR="00667528" w:rsidRPr="00BD69AE" w:rsidRDefault="00BD69AE" w:rsidP="007D4406">
      <w:pPr>
        <w:autoSpaceDE w:val="0"/>
        <w:autoSpaceDN w:val="0"/>
        <w:adjustRightInd w:val="0"/>
        <w:spacing w:after="0" w:line="240" w:lineRule="auto"/>
        <w:rPr>
          <w:rFonts w:cs="Times-Roman"/>
          <w:color w:val="BFBFBF" w:themeColor="background1" w:themeShade="BF"/>
          <w:sz w:val="24"/>
          <w:szCs w:val="24"/>
        </w:rPr>
      </w:pPr>
      <w:r>
        <w:rPr>
          <w:rFonts w:cs="Symbol"/>
          <w:sz w:val="24"/>
          <w:szCs w:val="24"/>
        </w:rPr>
        <w:br w:type="column"/>
      </w:r>
    </w:p>
    <w:p w:rsidR="00AE79FE" w:rsidRPr="00A443D7" w:rsidRDefault="00EF4056" w:rsidP="00A443D7">
      <w:pPr>
        <w:tabs>
          <w:tab w:val="num" w:pos="720"/>
        </w:tabs>
        <w:spacing w:after="120" w:line="240" w:lineRule="auto"/>
        <w:rPr>
          <w:b/>
          <w:u w:val="single"/>
        </w:rPr>
      </w:pPr>
      <w:r w:rsidRPr="00A443D7">
        <w:rPr>
          <w:b/>
          <w:u w:val="single"/>
        </w:rPr>
        <w:t>Objet</w:t>
      </w:r>
      <w:r w:rsidR="00A443D7" w:rsidRPr="00A443D7">
        <w:rPr>
          <w:b/>
          <w:u w:val="single"/>
        </w:rPr>
        <w:t xml:space="preserve"> de la contribution</w:t>
      </w:r>
      <w:r w:rsidRPr="00A443D7">
        <w:rPr>
          <w:b/>
          <w:u w:val="single"/>
        </w:rPr>
        <w:t xml:space="preserve">: </w:t>
      </w:r>
    </w:p>
    <w:p w:rsidR="00AE79FE" w:rsidRPr="00BD69AE" w:rsidRDefault="00EF4056" w:rsidP="00A443D7">
      <w:pPr>
        <w:numPr>
          <w:ilvl w:val="0"/>
          <w:numId w:val="1"/>
        </w:numPr>
        <w:spacing w:after="120" w:line="240" w:lineRule="auto"/>
      </w:pPr>
      <w:r w:rsidRPr="00BD69AE">
        <w:t>Sais</w:t>
      </w:r>
      <w:r w:rsidR="00A443D7">
        <w:t xml:space="preserve">ir les structures, et le cadre </w:t>
      </w:r>
      <w:r w:rsidRPr="00BD69AE">
        <w:t>d’une régulation sectorielle de l’éducation, en focalisant sur l’enseignement supérieur</w:t>
      </w:r>
    </w:p>
    <w:p w:rsidR="00AE79FE" w:rsidRPr="00BD69AE" w:rsidRDefault="00EF4056" w:rsidP="00A443D7">
      <w:pPr>
        <w:numPr>
          <w:ilvl w:val="0"/>
          <w:numId w:val="1"/>
        </w:numPr>
        <w:spacing w:after="120" w:line="240" w:lineRule="auto"/>
      </w:pPr>
      <w:r w:rsidRPr="00BD69AE">
        <w:t>Rendre compte de points de rupture dans la trajectoire</w:t>
      </w:r>
      <w:r w:rsidR="00A443D7">
        <w:t xml:space="preserve"> historique, et dans le rôle social ou socio-économique </w:t>
      </w:r>
    </w:p>
    <w:p w:rsidR="00AE79FE" w:rsidRPr="00BD69AE" w:rsidRDefault="00EF4056" w:rsidP="00A443D7">
      <w:pPr>
        <w:numPr>
          <w:ilvl w:val="0"/>
          <w:numId w:val="1"/>
        </w:numPr>
        <w:spacing w:after="120" w:line="240" w:lineRule="auto"/>
      </w:pPr>
      <w:r w:rsidRPr="00BD69AE">
        <w:t>Montrer les contradictions qui pèsent sur la transformation des front</w:t>
      </w:r>
      <w:r w:rsidR="00A443D7">
        <w:t>ières / périmètre de ce secteur, sur les conditions de sa reproduction</w:t>
      </w:r>
    </w:p>
    <w:p w:rsidR="00AE79FE" w:rsidRDefault="00A443D7" w:rsidP="00A443D7">
      <w:pPr>
        <w:numPr>
          <w:ilvl w:val="0"/>
          <w:numId w:val="1"/>
        </w:numPr>
        <w:spacing w:after="120" w:line="240" w:lineRule="auto"/>
      </w:pPr>
      <w:r>
        <w:t>Proposer un</w:t>
      </w:r>
      <w:r w:rsidR="00EF4056" w:rsidRPr="00BD69AE">
        <w:t>e grille de lecture de méso régulationniste</w:t>
      </w:r>
      <w:r>
        <w:t xml:space="preserve"> de l’ESR</w:t>
      </w:r>
    </w:p>
    <w:p w:rsidR="00A443D7" w:rsidRPr="00BD69AE" w:rsidRDefault="00A443D7" w:rsidP="00A443D7">
      <w:pPr>
        <w:spacing w:after="120" w:line="240" w:lineRule="auto"/>
      </w:pPr>
      <w:r>
        <w:t xml:space="preserve">On pose ainsi les questions sur </w:t>
      </w:r>
    </w:p>
    <w:p w:rsidR="00AE79FE" w:rsidRPr="00BD69AE" w:rsidRDefault="00EF4056" w:rsidP="00A443D7">
      <w:pPr>
        <w:numPr>
          <w:ilvl w:val="0"/>
          <w:numId w:val="2"/>
        </w:numPr>
        <w:spacing w:after="120" w:line="240" w:lineRule="auto"/>
      </w:pPr>
      <w:r w:rsidRPr="00BD69AE">
        <w:t>Un processus de sectorisation à haut risque</w:t>
      </w:r>
      <w:r w:rsidR="00A443D7">
        <w:t>.</w:t>
      </w:r>
    </w:p>
    <w:p w:rsidR="00895A87" w:rsidRDefault="00027076" w:rsidP="00895A87">
      <w:pPr>
        <w:numPr>
          <w:ilvl w:val="0"/>
          <w:numId w:val="2"/>
        </w:numPr>
        <w:spacing w:after="120" w:line="240" w:lineRule="auto"/>
      </w:pPr>
      <w:r>
        <w:t>Le</w:t>
      </w:r>
      <w:r w:rsidR="00A443D7">
        <w:t xml:space="preserve"> lien étroit au b</w:t>
      </w:r>
      <w:r w:rsidR="00EF4056" w:rsidRPr="00BD69AE">
        <w:t>ouclage macro</w:t>
      </w:r>
      <w:r w:rsidR="00A443D7">
        <w:t xml:space="preserve">. </w:t>
      </w:r>
    </w:p>
    <w:p w:rsidR="00AE79FE" w:rsidRDefault="00A443D7" w:rsidP="00895A87">
      <w:pPr>
        <w:spacing w:after="120" w:line="240" w:lineRule="auto"/>
      </w:pPr>
      <w:r>
        <w:t>En situant</w:t>
      </w:r>
      <w:r w:rsidR="00EF4056" w:rsidRPr="00BD69AE">
        <w:t xml:space="preserve"> le méso dans </w:t>
      </w:r>
      <w:proofErr w:type="gramStart"/>
      <w:r w:rsidR="00895A87">
        <w:t>les dynamiques</w:t>
      </w:r>
      <w:r w:rsidR="00EF4056" w:rsidRPr="00BD69AE">
        <w:t xml:space="preserve"> macro</w:t>
      </w:r>
      <w:proofErr w:type="gramEnd"/>
      <w:r>
        <w:t xml:space="preserve">, on montre comment se pose la question du rôle de </w:t>
      </w:r>
      <w:r w:rsidR="00895A87">
        <w:t xml:space="preserve">l’éducation dans la croissance. Ce qui suppose de tenir conjointement les dynamiques du </w:t>
      </w:r>
      <w:r w:rsidR="00EF4056" w:rsidRPr="00BD69AE">
        <w:t>Rapport salarial</w:t>
      </w:r>
      <w:r w:rsidR="00895A87">
        <w:t xml:space="preserve"> de l’</w:t>
      </w:r>
      <w:r w:rsidR="00EF4056" w:rsidRPr="00BD69AE">
        <w:t xml:space="preserve">Accumulation </w:t>
      </w:r>
      <w:r w:rsidR="00895A87">
        <w:t>et de la Régulation sectorielle.</w:t>
      </w:r>
    </w:p>
    <w:p w:rsidR="00A443D7" w:rsidRPr="00BD69AE" w:rsidRDefault="00A443D7" w:rsidP="00A443D7">
      <w:pPr>
        <w:spacing w:after="120" w:line="240" w:lineRule="auto"/>
      </w:pPr>
    </w:p>
    <w:p w:rsidR="00BD69AE" w:rsidRPr="00A443D7" w:rsidRDefault="00BD69AE" w:rsidP="00A443D7">
      <w:pPr>
        <w:spacing w:after="120" w:line="240" w:lineRule="auto"/>
        <w:rPr>
          <w:b/>
          <w:u w:val="single"/>
        </w:rPr>
      </w:pPr>
      <w:r w:rsidRPr="00A443D7">
        <w:rPr>
          <w:b/>
          <w:u w:val="single"/>
        </w:rPr>
        <w:t>Plan</w:t>
      </w:r>
      <w:r w:rsidR="00266C4D" w:rsidRPr="00A443D7">
        <w:rPr>
          <w:b/>
          <w:u w:val="single"/>
        </w:rPr>
        <w:t xml:space="preserve"> prévisionnel</w:t>
      </w:r>
    </w:p>
    <w:p w:rsidR="00B31F61" w:rsidRDefault="00BD69AE" w:rsidP="00A443D7">
      <w:pPr>
        <w:spacing w:after="120" w:line="240" w:lineRule="auto"/>
        <w:rPr>
          <w:b/>
        </w:rPr>
      </w:pPr>
      <w:r w:rsidRPr="00B31F61">
        <w:rPr>
          <w:b/>
        </w:rPr>
        <w:t>1 Un point / une proposition méthodologique.</w:t>
      </w:r>
    </w:p>
    <w:p w:rsidR="00BD69AE" w:rsidRDefault="00B31F61" w:rsidP="00A443D7">
      <w:pPr>
        <w:spacing w:after="120" w:line="240" w:lineRule="auto"/>
        <w:ind w:left="708"/>
      </w:pPr>
      <w:r>
        <w:t>1.1</w:t>
      </w:r>
      <w:r w:rsidR="00BD69AE" w:rsidRPr="00BD69AE">
        <w:t>Saisir les espaces méso de régulation</w:t>
      </w:r>
    </w:p>
    <w:p w:rsidR="00BD69AE" w:rsidRDefault="00BD69AE" w:rsidP="00A443D7">
      <w:pPr>
        <w:spacing w:after="120" w:line="240" w:lineRule="auto"/>
        <w:ind w:left="708"/>
      </w:pPr>
      <w:r w:rsidRPr="00BD69AE">
        <w:t>1.2 Un/des espaces méso ?</w:t>
      </w:r>
    </w:p>
    <w:p w:rsidR="00BD69AE" w:rsidRDefault="00BD69AE" w:rsidP="00A443D7">
      <w:pPr>
        <w:spacing w:after="120" w:line="240" w:lineRule="auto"/>
        <w:ind w:left="708"/>
      </w:pPr>
      <w:r w:rsidRPr="00BD69AE">
        <w:t>1.3 Régulations méso à différentes échelles</w:t>
      </w:r>
    </w:p>
    <w:p w:rsidR="00BD69AE" w:rsidRDefault="00BD69AE" w:rsidP="00A443D7">
      <w:pPr>
        <w:spacing w:after="120" w:line="240" w:lineRule="auto"/>
        <w:ind w:left="708"/>
      </w:pPr>
      <w:r w:rsidRPr="00BD69AE">
        <w:t>1.4 Rapports dialectiques méso / macro</w:t>
      </w:r>
      <w:r w:rsidR="00266C4D">
        <w:t>. Semi-fonctionnalité des secteurs</w:t>
      </w:r>
    </w:p>
    <w:p w:rsidR="00BD69AE" w:rsidRPr="00B31F61" w:rsidRDefault="00B31F61" w:rsidP="00A443D7">
      <w:pPr>
        <w:spacing w:after="120" w:line="240" w:lineRule="auto"/>
        <w:rPr>
          <w:b/>
        </w:rPr>
      </w:pPr>
      <w:r>
        <w:rPr>
          <w:b/>
        </w:rPr>
        <w:t>2. D</w:t>
      </w:r>
      <w:r w:rsidR="00266C4D">
        <w:rPr>
          <w:b/>
        </w:rPr>
        <w:t>e l’après-</w:t>
      </w:r>
      <w:r w:rsidR="00BD69AE" w:rsidRPr="00B31F61">
        <w:rPr>
          <w:b/>
        </w:rPr>
        <w:t>guerre</w:t>
      </w:r>
      <w:r w:rsidR="00266C4D">
        <w:rPr>
          <w:b/>
        </w:rPr>
        <w:t xml:space="preserve"> </w:t>
      </w:r>
      <w:r>
        <w:rPr>
          <w:b/>
        </w:rPr>
        <w:t>à</w:t>
      </w:r>
      <w:r w:rsidR="00BD69AE" w:rsidRPr="00B31F61">
        <w:rPr>
          <w:b/>
        </w:rPr>
        <w:t xml:space="preserve"> la fin des années 80 :</w:t>
      </w:r>
      <w:r w:rsidRPr="00B31F61">
        <w:rPr>
          <w:b/>
        </w:rPr>
        <w:t xml:space="preserve"> </w:t>
      </w:r>
      <w:r w:rsidR="00BD69AE" w:rsidRPr="00B31F61">
        <w:rPr>
          <w:b/>
        </w:rPr>
        <w:t xml:space="preserve">Régulation </w:t>
      </w:r>
      <w:r w:rsidR="00BD69AE" w:rsidRPr="00B31F61">
        <w:rPr>
          <w:b/>
          <w:bCs/>
        </w:rPr>
        <w:t>nationale, professionnelle et administrée</w:t>
      </w:r>
    </w:p>
    <w:p w:rsidR="00BD69AE" w:rsidRPr="00B31F61" w:rsidRDefault="00BD69AE" w:rsidP="00A443D7">
      <w:pPr>
        <w:spacing w:after="120" w:line="240" w:lineRule="auto"/>
        <w:rPr>
          <w:b/>
        </w:rPr>
      </w:pPr>
      <w:r w:rsidRPr="00B31F61">
        <w:rPr>
          <w:b/>
        </w:rPr>
        <w:t>3. Une double massification</w:t>
      </w:r>
    </w:p>
    <w:p w:rsidR="00BD69AE" w:rsidRPr="00266C4D" w:rsidRDefault="00266C4D" w:rsidP="00A443D7">
      <w:pPr>
        <w:spacing w:after="120" w:line="240" w:lineRule="auto"/>
        <w:rPr>
          <w:b/>
        </w:rPr>
      </w:pPr>
      <w:r w:rsidRPr="00266C4D">
        <w:rPr>
          <w:b/>
        </w:rPr>
        <w:t>4. Depuis 1990 : R</w:t>
      </w:r>
      <w:r w:rsidR="00B31F61" w:rsidRPr="00266C4D">
        <w:rPr>
          <w:b/>
          <w:bCs/>
        </w:rPr>
        <w:t>égulation néolibérale</w:t>
      </w:r>
      <w:r w:rsidRPr="00266C4D">
        <w:rPr>
          <w:b/>
          <w:bCs/>
        </w:rPr>
        <w:t>.</w:t>
      </w:r>
      <w:r w:rsidR="00B31F61" w:rsidRPr="00266C4D">
        <w:rPr>
          <w:b/>
        </w:rPr>
        <w:t xml:space="preserve"> </w:t>
      </w:r>
      <w:r w:rsidR="00BD69AE" w:rsidRPr="00266C4D">
        <w:rPr>
          <w:b/>
        </w:rPr>
        <w:t xml:space="preserve">Émergence </w:t>
      </w:r>
      <w:r w:rsidRPr="00266C4D">
        <w:rPr>
          <w:b/>
        </w:rPr>
        <w:t>d’un secteur du savoir, élargi et affrontement sur le rôle moteur (et social) de</w:t>
      </w:r>
      <w:r w:rsidR="00C24FDB">
        <w:rPr>
          <w:b/>
        </w:rPr>
        <w:t xml:space="preserve"> l</w:t>
      </w:r>
      <w:r w:rsidRPr="00266C4D">
        <w:rPr>
          <w:b/>
        </w:rPr>
        <w:t>’ESR</w:t>
      </w:r>
    </w:p>
    <w:p w:rsidR="00BD69AE" w:rsidRDefault="00BD69AE" w:rsidP="00A443D7">
      <w:pPr>
        <w:spacing w:after="120" w:line="240" w:lineRule="auto"/>
        <w:ind w:left="708"/>
      </w:pPr>
      <w:r w:rsidRPr="00BD69AE">
        <w:t xml:space="preserve">4.1 Evolution du </w:t>
      </w:r>
      <w:r w:rsidRPr="00266C4D">
        <w:rPr>
          <w:i/>
        </w:rPr>
        <w:t>produit</w:t>
      </w:r>
    </w:p>
    <w:p w:rsidR="00BD69AE" w:rsidRDefault="00BD69AE" w:rsidP="00A443D7">
      <w:pPr>
        <w:spacing w:after="120" w:line="240" w:lineRule="auto"/>
        <w:ind w:left="708"/>
      </w:pPr>
      <w:r w:rsidRPr="00BD69AE">
        <w:t>4.2. Désectorisation, processus mondialisé</w:t>
      </w:r>
    </w:p>
    <w:p w:rsidR="00BD69AE" w:rsidRDefault="00BD69AE" w:rsidP="00A443D7">
      <w:pPr>
        <w:spacing w:after="120" w:line="240" w:lineRule="auto"/>
        <w:ind w:left="708"/>
      </w:pPr>
      <w:r w:rsidRPr="00BD69AE">
        <w:t>4.3 Montée des politiques néolibérales</w:t>
      </w:r>
    </w:p>
    <w:p w:rsidR="00BD69AE" w:rsidRDefault="00BD69AE" w:rsidP="00A443D7">
      <w:pPr>
        <w:spacing w:after="120" w:line="240" w:lineRule="auto"/>
        <w:ind w:left="708"/>
      </w:pPr>
      <w:r w:rsidRPr="00BD69AE">
        <w:t>4.4. Erosion du compromis social avec le monde enseignant</w:t>
      </w:r>
    </w:p>
    <w:p w:rsidR="00BD69AE" w:rsidRDefault="00BD69AE" w:rsidP="00A443D7">
      <w:pPr>
        <w:spacing w:after="120" w:line="240" w:lineRule="auto"/>
        <w:ind w:left="708"/>
      </w:pPr>
      <w:r w:rsidRPr="00BD69AE">
        <w:t>4.5 Crise de la rationalisation professionnelle</w:t>
      </w:r>
    </w:p>
    <w:p w:rsidR="00BD69AE" w:rsidRDefault="00266C4D" w:rsidP="00A443D7">
      <w:pPr>
        <w:spacing w:after="120" w:line="240" w:lineRule="auto"/>
      </w:pPr>
      <w:r w:rsidRPr="00266C4D">
        <w:rPr>
          <w:b/>
        </w:rPr>
        <w:t>Conclusion.</w:t>
      </w:r>
      <w:r>
        <w:t xml:space="preserve"> </w:t>
      </w:r>
      <w:r w:rsidR="00BD69AE" w:rsidRPr="00BD69AE">
        <w:t>Un « secteur » du Savoir impensé: impossibilité de la rationalisation industrielle</w:t>
      </w:r>
      <w:r>
        <w:t>, fermeture de l’horizon social</w:t>
      </w:r>
    </w:p>
    <w:p w:rsidR="00155257" w:rsidRDefault="00155257" w:rsidP="00A443D7">
      <w:pPr>
        <w:spacing w:after="120" w:line="240" w:lineRule="auto"/>
      </w:pPr>
    </w:p>
    <w:p w:rsidR="00155257" w:rsidRDefault="007D4406" w:rsidP="00A443D7">
      <w:pPr>
        <w:spacing w:after="120" w:line="240" w:lineRule="auto"/>
      </w:pPr>
      <w:r>
        <w:br w:type="column"/>
      </w:r>
    </w:p>
    <w:p w:rsidR="00650633" w:rsidRPr="00BD69AE" w:rsidRDefault="00155257" w:rsidP="00650633">
      <w:pPr>
        <w:autoSpaceDE w:val="0"/>
        <w:autoSpaceDN w:val="0"/>
        <w:adjustRightInd w:val="0"/>
        <w:spacing w:after="0" w:line="240" w:lineRule="auto"/>
        <w:rPr>
          <w:rFonts w:cs="Times-Roman"/>
          <w:color w:val="BFBFBF" w:themeColor="background1" w:themeShade="BF"/>
          <w:sz w:val="24"/>
          <w:szCs w:val="24"/>
        </w:rPr>
      </w:pPr>
      <w:r w:rsidRPr="00935B5B">
        <w:rPr>
          <w:b/>
          <w:u w:val="single"/>
        </w:rPr>
        <w:t>Quelques références</w:t>
      </w:r>
    </w:p>
    <w:p w:rsidR="00155257" w:rsidRDefault="00155257" w:rsidP="00A443D7">
      <w:pPr>
        <w:spacing w:after="120" w:line="240" w:lineRule="auto"/>
      </w:pPr>
    </w:p>
    <w:p w:rsidR="00155257" w:rsidRDefault="00155257" w:rsidP="00650633">
      <w:pPr>
        <w:pStyle w:val="biblio"/>
        <w:spacing w:after="120"/>
      </w:pPr>
      <w:r>
        <w:rPr>
          <w:smallCaps/>
        </w:rPr>
        <w:t>André R.</w:t>
      </w:r>
      <w:r>
        <w:t xml:space="preserve"> et </w:t>
      </w:r>
      <w:r>
        <w:rPr>
          <w:smallCaps/>
        </w:rPr>
        <w:t>Delorme C.</w:t>
      </w:r>
      <w:r>
        <w:t xml:space="preserve"> [1983], </w:t>
      </w:r>
      <w:r>
        <w:rPr>
          <w:i/>
        </w:rPr>
        <w:t>L'État et l'économie</w:t>
      </w:r>
      <w:r>
        <w:t>, Seuil, Paris.</w:t>
      </w:r>
    </w:p>
    <w:p w:rsidR="00155257" w:rsidRDefault="00155257" w:rsidP="00650633">
      <w:pPr>
        <w:pStyle w:val="biblio"/>
        <w:spacing w:after="120"/>
      </w:pPr>
      <w:proofErr w:type="spellStart"/>
      <w:r>
        <w:rPr>
          <w:smallCaps/>
        </w:rPr>
        <w:t>Baudelot</w:t>
      </w:r>
      <w:proofErr w:type="spellEnd"/>
      <w:r>
        <w:rPr>
          <w:smallCaps/>
        </w:rPr>
        <w:t xml:space="preserve"> C.</w:t>
      </w:r>
      <w:r>
        <w:t xml:space="preserve"> et </w:t>
      </w:r>
      <w:proofErr w:type="spellStart"/>
      <w:r>
        <w:rPr>
          <w:smallCaps/>
        </w:rPr>
        <w:t>Establet</w:t>
      </w:r>
      <w:proofErr w:type="spellEnd"/>
      <w:r>
        <w:rPr>
          <w:smallCaps/>
        </w:rPr>
        <w:t xml:space="preserve"> R.</w:t>
      </w:r>
      <w:r>
        <w:t xml:space="preserve"> [1972], </w:t>
      </w:r>
      <w:r>
        <w:rPr>
          <w:i/>
        </w:rPr>
        <w:t>L'école capitaliste en France</w:t>
      </w:r>
      <w:r>
        <w:t>, Maspero, Paris.</w:t>
      </w:r>
    </w:p>
    <w:p w:rsidR="00155257" w:rsidRDefault="00155257" w:rsidP="00650633">
      <w:pPr>
        <w:pStyle w:val="biblio"/>
        <w:spacing w:after="120"/>
      </w:pPr>
      <w:r>
        <w:rPr>
          <w:smallCaps/>
        </w:rPr>
        <w:t>Bourdieu P.</w:t>
      </w:r>
      <w:r>
        <w:t xml:space="preserve"> et </w:t>
      </w:r>
      <w:proofErr w:type="spellStart"/>
      <w:r>
        <w:rPr>
          <w:smallCaps/>
        </w:rPr>
        <w:t>Passeron</w:t>
      </w:r>
      <w:proofErr w:type="spellEnd"/>
      <w:r>
        <w:t xml:space="preserve"> </w:t>
      </w:r>
      <w:r>
        <w:rPr>
          <w:smallCaps/>
        </w:rPr>
        <w:t xml:space="preserve">J.-C. </w:t>
      </w:r>
      <w:r>
        <w:t xml:space="preserve">[1964], </w:t>
      </w:r>
      <w:r>
        <w:rPr>
          <w:i/>
        </w:rPr>
        <w:t>Les héritiers. Les étudiants et la culture</w:t>
      </w:r>
      <w:r>
        <w:t>, Éditions de Minuit, Paris.</w:t>
      </w:r>
    </w:p>
    <w:p w:rsidR="00650633" w:rsidRDefault="00650633" w:rsidP="00650633">
      <w:pPr>
        <w:pStyle w:val="biblio"/>
        <w:spacing w:after="120"/>
      </w:pPr>
      <w:r w:rsidRPr="007D4406">
        <w:rPr>
          <w:smallCaps/>
        </w:rPr>
        <w:t>Boyer,</w:t>
      </w:r>
      <w:r>
        <w:t xml:space="preserve"> R. et </w:t>
      </w:r>
      <w:proofErr w:type="spellStart"/>
      <w:r w:rsidRPr="007D4406">
        <w:rPr>
          <w:smallCaps/>
        </w:rPr>
        <w:t>Caroli</w:t>
      </w:r>
      <w:proofErr w:type="spellEnd"/>
      <w:r>
        <w:t xml:space="preserve">, E., (1993), </w:t>
      </w:r>
      <w:r w:rsidRPr="00650633">
        <w:rPr>
          <w:i/>
        </w:rPr>
        <w:t>Changement de paradigme productif et rapport éducatif : performances de croissance comparées France-Allemagne</w:t>
      </w:r>
      <w:r>
        <w:t xml:space="preserve">, CEPREMAP, Paris. </w:t>
      </w:r>
    </w:p>
    <w:p w:rsidR="00650633" w:rsidRDefault="00650633" w:rsidP="00650633">
      <w:pPr>
        <w:pStyle w:val="biblio"/>
        <w:spacing w:after="120"/>
      </w:pPr>
      <w:r w:rsidRPr="007D4406">
        <w:rPr>
          <w:smallCaps/>
        </w:rPr>
        <w:t>Boyer</w:t>
      </w:r>
      <w:r>
        <w:t xml:space="preserve">, R. et </w:t>
      </w:r>
      <w:proofErr w:type="spellStart"/>
      <w:r w:rsidRPr="007D4406">
        <w:rPr>
          <w:smallCaps/>
        </w:rPr>
        <w:t>Saillard</w:t>
      </w:r>
      <w:proofErr w:type="spellEnd"/>
      <w:r>
        <w:t xml:space="preserve">, Y. (Ed.), (2002), </w:t>
      </w:r>
      <w:r w:rsidRPr="00650633">
        <w:rPr>
          <w:i/>
        </w:rPr>
        <w:t>Théorie de la régulation, l'état des savoirs</w:t>
      </w:r>
      <w:r>
        <w:t xml:space="preserve">, La découverte, Paris. </w:t>
      </w:r>
    </w:p>
    <w:p w:rsidR="00650633" w:rsidRDefault="00650633" w:rsidP="00650633">
      <w:pPr>
        <w:pStyle w:val="biblio"/>
        <w:spacing w:after="120"/>
      </w:pPr>
      <w:proofErr w:type="spellStart"/>
      <w:r w:rsidRPr="007D4406">
        <w:rPr>
          <w:smallCaps/>
        </w:rPr>
        <w:t>Colletis</w:t>
      </w:r>
      <w:proofErr w:type="spellEnd"/>
      <w:r>
        <w:t xml:space="preserve">, G. et </w:t>
      </w:r>
      <w:proofErr w:type="spellStart"/>
      <w:r w:rsidRPr="007D4406">
        <w:rPr>
          <w:smallCaps/>
        </w:rPr>
        <w:t>Paulré</w:t>
      </w:r>
      <w:proofErr w:type="spellEnd"/>
      <w:r>
        <w:t xml:space="preserve">, B., (2008), </w:t>
      </w:r>
      <w:r w:rsidRPr="00650633">
        <w:rPr>
          <w:i/>
        </w:rPr>
        <w:t>Les nouveaux horizons du capitalisme. Pouvoirs, valeurs et temps</w:t>
      </w:r>
      <w:r>
        <w:t xml:space="preserve">, </w:t>
      </w:r>
      <w:proofErr w:type="spellStart"/>
      <w:r>
        <w:t>Economica</w:t>
      </w:r>
      <w:proofErr w:type="spellEnd"/>
      <w:r>
        <w:t>, Paris.</w:t>
      </w:r>
    </w:p>
    <w:p w:rsidR="00155257" w:rsidRDefault="00155257" w:rsidP="00650633">
      <w:pPr>
        <w:pStyle w:val="biblio"/>
        <w:spacing w:after="120"/>
      </w:pPr>
      <w:r>
        <w:rPr>
          <w:smallCaps/>
        </w:rPr>
        <w:t>Laurent</w:t>
      </w:r>
      <w:r>
        <w:t xml:space="preserve"> C. et </w:t>
      </w:r>
      <w:r>
        <w:rPr>
          <w:smallCaps/>
        </w:rPr>
        <w:t>du</w:t>
      </w:r>
      <w:r>
        <w:t xml:space="preserve"> </w:t>
      </w:r>
      <w:r>
        <w:rPr>
          <w:smallCaps/>
        </w:rPr>
        <w:t>Tertre</w:t>
      </w:r>
      <w:r>
        <w:t xml:space="preserve"> C. (éd), </w:t>
      </w:r>
      <w:r>
        <w:rPr>
          <w:i/>
        </w:rPr>
        <w:t>Secteurs et territoires dans les régulations émergentes</w:t>
      </w:r>
      <w:r>
        <w:t xml:space="preserve">, </w:t>
      </w:r>
      <w:proofErr w:type="spellStart"/>
      <w:r>
        <w:t>L'harmattan</w:t>
      </w:r>
      <w:proofErr w:type="spellEnd"/>
      <w:r>
        <w:t>, Paris.</w:t>
      </w:r>
    </w:p>
    <w:p w:rsidR="00155257" w:rsidRDefault="00155257" w:rsidP="00650633">
      <w:pPr>
        <w:pStyle w:val="biblio"/>
        <w:spacing w:after="120"/>
      </w:pPr>
      <w:r>
        <w:rPr>
          <w:smallCaps/>
        </w:rPr>
        <w:t>Lamarche T.</w:t>
      </w:r>
      <w:r>
        <w:t xml:space="preserve"> [2008], « Rupture dans la trajectoire historique du système éducatif. Vers une logique sectorielle ? », </w:t>
      </w:r>
      <w:proofErr w:type="gramStart"/>
      <w:r>
        <w:rPr>
          <w:i/>
        </w:rPr>
        <w:t>in</w:t>
      </w:r>
      <w:proofErr w:type="gramEnd"/>
      <w:r>
        <w:t xml:space="preserve"> </w:t>
      </w:r>
      <w:r>
        <w:rPr>
          <w:smallCaps/>
        </w:rPr>
        <w:t>du</w:t>
      </w:r>
      <w:r w:rsidR="00935B5B">
        <w:t> </w:t>
      </w:r>
      <w:r>
        <w:rPr>
          <w:smallCaps/>
        </w:rPr>
        <w:t>Tertre</w:t>
      </w:r>
      <w:r>
        <w:t xml:space="preserve"> C. et </w:t>
      </w:r>
      <w:r>
        <w:rPr>
          <w:smallCaps/>
        </w:rPr>
        <w:t>Laurent</w:t>
      </w:r>
      <w:r>
        <w:t xml:space="preserve"> C. (éd), </w:t>
      </w:r>
      <w:r>
        <w:rPr>
          <w:i/>
        </w:rPr>
        <w:t>Sec</w:t>
      </w:r>
      <w:r>
        <w:rPr>
          <w:i/>
        </w:rPr>
        <w:softHyphen/>
        <w:t>teurs et territoires dans les régulations émergentes</w:t>
      </w:r>
      <w:r>
        <w:t xml:space="preserve">, </w:t>
      </w:r>
      <w:proofErr w:type="spellStart"/>
      <w:r>
        <w:t>L'harmattan</w:t>
      </w:r>
      <w:proofErr w:type="spellEnd"/>
      <w:r>
        <w:t>, Paris.</w:t>
      </w:r>
      <w:r>
        <w:rPr>
          <w:lang w:val="fr-BE"/>
        </w:rPr>
        <w:t xml:space="preserve"> pp. 99-120.</w:t>
      </w:r>
    </w:p>
    <w:p w:rsidR="00155257" w:rsidRDefault="00155257" w:rsidP="00650633">
      <w:pPr>
        <w:pStyle w:val="biblio"/>
        <w:spacing w:after="120"/>
      </w:pPr>
      <w:r>
        <w:rPr>
          <w:smallCaps/>
        </w:rPr>
        <w:t>Michel S.</w:t>
      </w:r>
      <w:r>
        <w:t xml:space="preserve"> [1999], </w:t>
      </w:r>
      <w:r>
        <w:rPr>
          <w:i/>
        </w:rPr>
        <w:t>Éducation et croissance économique en longue période</w:t>
      </w:r>
      <w:r>
        <w:t xml:space="preserve">, </w:t>
      </w:r>
      <w:proofErr w:type="spellStart"/>
      <w:r>
        <w:t>L'Harmattan</w:t>
      </w:r>
      <w:proofErr w:type="spellEnd"/>
      <w:r>
        <w:t>, Paris.</w:t>
      </w:r>
    </w:p>
    <w:p w:rsidR="00155257" w:rsidRDefault="00155257" w:rsidP="00650633">
      <w:pPr>
        <w:pStyle w:val="biblio"/>
        <w:spacing w:after="120"/>
      </w:pPr>
      <w:proofErr w:type="spellStart"/>
      <w:r>
        <w:rPr>
          <w:smallCaps/>
        </w:rPr>
        <w:t>Musselin</w:t>
      </w:r>
      <w:proofErr w:type="spellEnd"/>
      <w:r>
        <w:rPr>
          <w:smallCaps/>
        </w:rPr>
        <w:t xml:space="preserve"> C.</w:t>
      </w:r>
      <w:r>
        <w:t xml:space="preserve"> [2017], </w:t>
      </w:r>
      <w:r>
        <w:rPr>
          <w:i/>
        </w:rPr>
        <w:t>La grande course des universités</w:t>
      </w:r>
      <w:r>
        <w:t>, Presses de Sciences Po, Paris.</w:t>
      </w:r>
    </w:p>
    <w:p w:rsidR="00155257" w:rsidRPr="00BD69AE" w:rsidRDefault="00155257" w:rsidP="00A443D7">
      <w:pPr>
        <w:spacing w:after="120" w:line="240" w:lineRule="auto"/>
      </w:pPr>
    </w:p>
    <w:sectPr w:rsidR="00155257" w:rsidRPr="00BD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71AE"/>
    <w:multiLevelType w:val="hybridMultilevel"/>
    <w:tmpl w:val="06B46296"/>
    <w:lvl w:ilvl="0" w:tplc="AADC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641FE">
      <w:start w:val="10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26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4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4A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C7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CA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8E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64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F708E3"/>
    <w:multiLevelType w:val="hybridMultilevel"/>
    <w:tmpl w:val="27B2335C"/>
    <w:lvl w:ilvl="0" w:tplc="CD78330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C9E1E">
      <w:start w:val="1082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F6CBF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AAB7F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2802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3082F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223D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4BA7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E6DE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AE"/>
    <w:rsid w:val="00027076"/>
    <w:rsid w:val="000E1720"/>
    <w:rsid w:val="00155257"/>
    <w:rsid w:val="00266C4D"/>
    <w:rsid w:val="00650633"/>
    <w:rsid w:val="00667528"/>
    <w:rsid w:val="006B10D3"/>
    <w:rsid w:val="007D4406"/>
    <w:rsid w:val="00895A87"/>
    <w:rsid w:val="00935B5B"/>
    <w:rsid w:val="00A443D7"/>
    <w:rsid w:val="00A97BFA"/>
    <w:rsid w:val="00AE79FE"/>
    <w:rsid w:val="00B31F61"/>
    <w:rsid w:val="00BD69AE"/>
    <w:rsid w:val="00C24FDB"/>
    <w:rsid w:val="00E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69AE"/>
    <w:rPr>
      <w:color w:val="0000FF" w:themeColor="hyperlink"/>
      <w:u w:val="single"/>
    </w:rPr>
  </w:style>
  <w:style w:type="paragraph" w:customStyle="1" w:styleId="biblio">
    <w:name w:val="biblio"/>
    <w:basedOn w:val="Normal"/>
    <w:rsid w:val="00155257"/>
    <w:pPr>
      <w:spacing w:after="0" w:line="240" w:lineRule="auto"/>
      <w:ind w:left="284" w:hanging="284"/>
      <w:jc w:val="both"/>
    </w:pPr>
    <w:rPr>
      <w:rFonts w:ascii="Times" w:eastAsia="Times New Roman" w:hAnsi="Times" w:cs="Times New Roman"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69AE"/>
    <w:rPr>
      <w:color w:val="0000FF" w:themeColor="hyperlink"/>
      <w:u w:val="single"/>
    </w:rPr>
  </w:style>
  <w:style w:type="paragraph" w:customStyle="1" w:styleId="biblio">
    <w:name w:val="biblio"/>
    <w:basedOn w:val="Normal"/>
    <w:rsid w:val="00155257"/>
    <w:pPr>
      <w:spacing w:after="0" w:line="240" w:lineRule="auto"/>
      <w:ind w:left="284" w:hanging="284"/>
      <w:jc w:val="both"/>
    </w:pPr>
    <w:rPr>
      <w:rFonts w:ascii="Times" w:eastAsia="Times New Roman" w:hAnsi="Times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3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8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0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0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drine.michel@u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lamarche@univ-paris-diderot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Lamarche</dc:creator>
  <cp:lastModifiedBy>Thomas Lamarche</cp:lastModifiedBy>
  <cp:revision>2</cp:revision>
  <dcterms:created xsi:type="dcterms:W3CDTF">2018-02-28T11:29:00Z</dcterms:created>
  <dcterms:modified xsi:type="dcterms:W3CDTF">2018-02-28T11:29:00Z</dcterms:modified>
</cp:coreProperties>
</file>