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FC" w:rsidRDefault="008044FC" w:rsidP="008044FC">
      <w:pPr>
        <w:spacing w:before="0" w:after="0" w:line="240" w:lineRule="auto"/>
        <w:jc w:val="center"/>
        <w:rPr>
          <w:b/>
        </w:rPr>
      </w:pPr>
      <w:r>
        <w:rPr>
          <w:b/>
        </w:rPr>
        <w:t>Global Carbon Budget:</w:t>
      </w:r>
    </w:p>
    <w:p w:rsidR="008044FC" w:rsidRDefault="008044FC" w:rsidP="008044FC">
      <w:pPr>
        <w:spacing w:before="0" w:after="0" w:line="240" w:lineRule="auto"/>
        <w:jc w:val="center"/>
        <w:rPr>
          <w:b/>
        </w:rPr>
      </w:pPr>
      <w:r>
        <w:rPr>
          <w:b/>
        </w:rPr>
        <w:t xml:space="preserve">An International Political Economy Approach </w:t>
      </w:r>
      <w:r w:rsidR="0064349D">
        <w:rPr>
          <w:b/>
        </w:rPr>
        <w:br/>
      </w:r>
      <w:r>
        <w:rPr>
          <w:b/>
        </w:rPr>
        <w:t>to Global Climate Governance</w:t>
      </w:r>
    </w:p>
    <w:p w:rsidR="00115EE0" w:rsidRDefault="00115EE0" w:rsidP="008044FC">
      <w:pPr>
        <w:spacing w:before="0" w:after="0" w:line="240" w:lineRule="auto"/>
        <w:jc w:val="center"/>
        <w:rPr>
          <w:b/>
        </w:rPr>
      </w:pPr>
    </w:p>
    <w:p w:rsidR="00D50843" w:rsidRDefault="00D50843" w:rsidP="00115EE0">
      <w:pPr>
        <w:pStyle w:val="Ttulo1"/>
      </w:pPr>
      <w:proofErr w:type="gramStart"/>
      <w:r>
        <w:t>Appropriation or sharing?</w:t>
      </w:r>
      <w:proofErr w:type="gramEnd"/>
      <w:r>
        <w:t xml:space="preserve"> </w:t>
      </w:r>
      <w:r w:rsidR="00DE6CD1">
        <w:t>Cumulative</w:t>
      </w:r>
      <w:r>
        <w:t xml:space="preserve"> anthropogenic CO</w:t>
      </w:r>
      <w:r w:rsidRPr="00D43D12">
        <w:rPr>
          <w:vertAlign w:val="subscript"/>
        </w:rPr>
        <w:t>2</w:t>
      </w:r>
      <w:r>
        <w:t xml:space="preserve"> emissions by country</w:t>
      </w:r>
      <w:r w:rsidR="002456B5">
        <w:t xml:space="preserve"> and corporations </w:t>
      </w:r>
    </w:p>
    <w:p w:rsidR="00D50843" w:rsidRDefault="002456B5" w:rsidP="00D50843">
      <w:r w:rsidRPr="002456B5">
        <w:t>This section aims to present how count</w:t>
      </w:r>
      <w:r w:rsidR="00266CDE">
        <w:t>ries and large corporations in O</w:t>
      </w:r>
      <w:r w:rsidRPr="002456B5">
        <w:t xml:space="preserve">il and gas sector, </w:t>
      </w:r>
      <w:r w:rsidR="00DE6CD1">
        <w:t>major</w:t>
      </w:r>
      <w:r w:rsidRPr="002456B5">
        <w:t xml:space="preserve"> emitters of CO</w:t>
      </w:r>
      <w:r w:rsidRPr="00D616AE">
        <w:rPr>
          <w:vertAlign w:val="subscript"/>
        </w:rPr>
        <w:t>2</w:t>
      </w:r>
      <w:r w:rsidRPr="002456B5">
        <w:t>, appropriated the common resource</w:t>
      </w:r>
      <w:r w:rsidR="00DE6CD1">
        <w:t xml:space="preserve"> known as </w:t>
      </w:r>
      <w:r w:rsidRPr="001F3914">
        <w:rPr>
          <w:i/>
        </w:rPr>
        <w:t>global carbon budget</w:t>
      </w:r>
      <w:r w:rsidRPr="002456B5">
        <w:t xml:space="preserve">. In addition, the discussion in this section raises a reflection on the responsibilities described in the Kyoto Protocol regime and should be expanded and refined so that other actors involved in the appropriation of the resource are part of the negotiations and that in some way responsibilities. </w:t>
      </w:r>
      <w:r>
        <w:t>Beside this</w:t>
      </w:r>
      <w:r w:rsidRPr="002456B5">
        <w:t xml:space="preserve">, countries that have historically appropriated little of this resource and are at risk of "losses and damages" due to climate change, should have their rights observed, especially those associated </w:t>
      </w:r>
      <w:r w:rsidR="00647F04">
        <w:t>with climate justice (NEWELL &amp;</w:t>
      </w:r>
      <w:r w:rsidRPr="002456B5">
        <w:t xml:space="preserve"> PATERSON, 2010).</w:t>
      </w:r>
    </w:p>
    <w:p w:rsidR="00943E06" w:rsidRDefault="001F3914" w:rsidP="00D50843">
      <w:r>
        <w:t xml:space="preserve">Using </w:t>
      </w:r>
      <w:r w:rsidR="00943E06" w:rsidRPr="00943E06">
        <w:t xml:space="preserve">CAIT </w:t>
      </w:r>
      <w:r>
        <w:t xml:space="preserve">(WRI) </w:t>
      </w:r>
      <w:r w:rsidR="00943E06" w:rsidRPr="00943E06">
        <w:t>data</w:t>
      </w:r>
      <w:r>
        <w:rPr>
          <w:rStyle w:val="Refdenotaderodap"/>
        </w:rPr>
        <w:footnoteReference w:id="1"/>
      </w:r>
      <w:r w:rsidR="00943E06" w:rsidRPr="00943E06">
        <w:t>, the cumulative anthropogenic CO</w:t>
      </w:r>
      <w:r w:rsidR="00943E06" w:rsidRPr="001F3914">
        <w:rPr>
          <w:vertAlign w:val="subscript"/>
        </w:rPr>
        <w:t>2</w:t>
      </w:r>
      <w:r w:rsidR="00943E06" w:rsidRPr="00943E06">
        <w:t xml:space="preserve"> emissions from the pre-industrial </w:t>
      </w:r>
      <w:r>
        <w:t>era</w:t>
      </w:r>
      <w:r w:rsidR="00943E06" w:rsidRPr="00943E06">
        <w:t xml:space="preserve"> </w:t>
      </w:r>
      <w:r>
        <w:t>until</w:t>
      </w:r>
      <w:r w:rsidR="00943E06" w:rsidRPr="00943E06">
        <w:t xml:space="preserve"> 2010 were found to be concentrated in Annex I countries, around 70.42% of emissions</w:t>
      </w:r>
      <w:r w:rsidR="00943E06">
        <w:t xml:space="preserve">. </w:t>
      </w:r>
      <w:r w:rsidR="00943E06" w:rsidRPr="00943E06">
        <w:t>It is estimated that these countries consumed about 44.</w:t>
      </w:r>
      <w:r w:rsidR="00943E06">
        <w:t>30% of the global carbon budget</w:t>
      </w:r>
      <w:r w:rsidR="00FC6F6F">
        <w:t>. It is noted that Small I</w:t>
      </w:r>
      <w:r w:rsidR="00FC6F6F" w:rsidRPr="00C87171">
        <w:t>sland countries such as the AOSIS</w:t>
      </w:r>
      <w:r w:rsidR="00FC6F6F">
        <w:rPr>
          <w:rStyle w:val="Refdenotaderodap"/>
        </w:rPr>
        <w:footnoteReference w:id="2"/>
      </w:r>
      <w:r w:rsidR="00FC6F6F" w:rsidRPr="00C87171">
        <w:t xml:space="preserve"> cluster</w:t>
      </w:r>
      <w:r w:rsidR="00DB21FC">
        <w:t xml:space="preserve">, that </w:t>
      </w:r>
      <w:r w:rsidR="00FC6F6F" w:rsidRPr="00C87171">
        <w:t>contributed little to the problem of global warming, consuming approximately 0.17% of the to</w:t>
      </w:r>
      <w:r w:rsidR="00FC6F6F">
        <w:t>tal carbon budget in the period</w:t>
      </w:r>
      <w:r w:rsidR="00943E06">
        <w:t xml:space="preserve"> (Table 1).</w:t>
      </w:r>
    </w:p>
    <w:p w:rsidR="00FC6F6F" w:rsidRPr="00BC5C89" w:rsidRDefault="00FC6F6F" w:rsidP="005A2B72">
      <w:pPr>
        <w:spacing w:line="240" w:lineRule="auto"/>
        <w:jc w:val="center"/>
        <w:rPr>
          <w:b/>
        </w:rPr>
      </w:pPr>
      <w:r w:rsidRPr="00BC5C89">
        <w:rPr>
          <w:b/>
        </w:rPr>
        <w:t>Table 1 – Historical emissions of CO</w:t>
      </w:r>
      <w:r w:rsidRPr="00BC5C89">
        <w:rPr>
          <w:b/>
          <w:vertAlign w:val="subscript"/>
        </w:rPr>
        <w:t>2</w:t>
      </w:r>
      <w:r w:rsidRPr="00BC5C89">
        <w:rPr>
          <w:b/>
        </w:rPr>
        <w:t xml:space="preserve"> (in GtCO</w:t>
      </w:r>
      <w:r w:rsidRPr="004E3F60">
        <w:rPr>
          <w:b/>
          <w:vertAlign w:val="subscript"/>
        </w:rPr>
        <w:t>2</w:t>
      </w:r>
      <w:r w:rsidRPr="00BC5C89">
        <w:rPr>
          <w:b/>
        </w:rPr>
        <w:t xml:space="preserve">) and consumption of the carbon budget </w:t>
      </w:r>
      <w:r>
        <w:rPr>
          <w:b/>
        </w:rPr>
        <w:t xml:space="preserve">(in %) </w:t>
      </w:r>
      <w:r w:rsidRPr="00BC5C89">
        <w:rPr>
          <w:b/>
        </w:rPr>
        <w:t>by country grouping (1850-2010)</w:t>
      </w:r>
    </w:p>
    <w:tbl>
      <w:tblPr>
        <w:tblW w:w="8000" w:type="dxa"/>
        <w:jc w:val="center"/>
        <w:tblInd w:w="55" w:type="dxa"/>
        <w:tblCellMar>
          <w:left w:w="70" w:type="dxa"/>
          <w:right w:w="70" w:type="dxa"/>
        </w:tblCellMar>
        <w:tblLook w:val="04A0" w:firstRow="1" w:lastRow="0" w:firstColumn="1" w:lastColumn="0" w:noHBand="0" w:noVBand="1"/>
      </w:tblPr>
      <w:tblGrid>
        <w:gridCol w:w="1600"/>
        <w:gridCol w:w="1600"/>
        <w:gridCol w:w="1600"/>
        <w:gridCol w:w="1600"/>
        <w:gridCol w:w="1600"/>
      </w:tblGrid>
      <w:tr w:rsidR="00FC6F6F" w:rsidRPr="00BC5C89" w:rsidTr="00AA3928">
        <w:trPr>
          <w:trHeight w:val="900"/>
          <w:jc w:val="center"/>
        </w:trPr>
        <w:tc>
          <w:tcPr>
            <w:tcW w:w="1600" w:type="dxa"/>
            <w:tcBorders>
              <w:top w:val="single" w:sz="8" w:space="0" w:color="auto"/>
              <w:left w:val="nil"/>
              <w:bottom w:val="single" w:sz="4" w:space="0" w:color="auto"/>
              <w:right w:val="nil"/>
            </w:tcBorders>
            <w:shd w:val="clear" w:color="000000" w:fill="FFFFFF"/>
            <w:vAlign w:val="center"/>
            <w:hideMark/>
          </w:tcPr>
          <w:p w:rsidR="00FC6F6F" w:rsidRPr="00DB21FC" w:rsidRDefault="00FC6F6F" w:rsidP="00E40766">
            <w:pPr>
              <w:spacing w:before="0" w:after="0" w:line="240" w:lineRule="auto"/>
              <w:jc w:val="center"/>
              <w:rPr>
                <w:rFonts w:eastAsia="Times New Roman" w:cs="Arial"/>
                <w:b/>
                <w:bCs/>
                <w:color w:val="000000"/>
                <w:sz w:val="20"/>
                <w:szCs w:val="20"/>
                <w:lang w:eastAsia="pt-BR"/>
              </w:rPr>
            </w:pPr>
            <w:r w:rsidRPr="00DB21FC">
              <w:rPr>
                <w:rFonts w:eastAsia="Times New Roman" w:cs="Arial"/>
                <w:b/>
                <w:bCs/>
                <w:color w:val="000000"/>
                <w:sz w:val="20"/>
                <w:szCs w:val="20"/>
                <w:lang w:eastAsia="pt-BR"/>
              </w:rPr>
              <w:t>Grouping of Countries</w:t>
            </w:r>
          </w:p>
        </w:tc>
        <w:tc>
          <w:tcPr>
            <w:tcW w:w="1600" w:type="dxa"/>
            <w:tcBorders>
              <w:top w:val="single" w:sz="8" w:space="0" w:color="auto"/>
              <w:left w:val="nil"/>
              <w:bottom w:val="single" w:sz="4" w:space="0" w:color="auto"/>
              <w:right w:val="nil"/>
            </w:tcBorders>
            <w:shd w:val="clear" w:color="000000" w:fill="FFFFFF"/>
            <w:vAlign w:val="center"/>
            <w:hideMark/>
          </w:tcPr>
          <w:p w:rsidR="00FC6F6F" w:rsidRPr="00DB21FC" w:rsidRDefault="00FC6F6F" w:rsidP="00E40766">
            <w:pPr>
              <w:spacing w:before="0" w:after="0" w:line="240" w:lineRule="auto"/>
              <w:jc w:val="center"/>
              <w:rPr>
                <w:rFonts w:eastAsia="Times New Roman" w:cs="Arial"/>
                <w:b/>
                <w:bCs/>
                <w:color w:val="000000"/>
                <w:sz w:val="20"/>
                <w:szCs w:val="20"/>
                <w:lang w:eastAsia="pt-BR"/>
              </w:rPr>
            </w:pPr>
            <w:r w:rsidRPr="00DB21FC">
              <w:rPr>
                <w:rFonts w:eastAsia="Times New Roman" w:cs="Arial"/>
                <w:b/>
                <w:bCs/>
                <w:color w:val="000000"/>
                <w:sz w:val="20"/>
                <w:szCs w:val="20"/>
                <w:lang w:eastAsia="pt-BR"/>
              </w:rPr>
              <w:t xml:space="preserve"> GtCO2 Emission</w:t>
            </w:r>
          </w:p>
        </w:tc>
        <w:tc>
          <w:tcPr>
            <w:tcW w:w="1600" w:type="dxa"/>
            <w:tcBorders>
              <w:top w:val="single" w:sz="8" w:space="0" w:color="auto"/>
              <w:left w:val="nil"/>
              <w:bottom w:val="single" w:sz="4" w:space="0" w:color="auto"/>
              <w:right w:val="nil"/>
            </w:tcBorders>
            <w:shd w:val="clear" w:color="000000" w:fill="FFFFFF"/>
            <w:vAlign w:val="center"/>
            <w:hideMark/>
          </w:tcPr>
          <w:p w:rsidR="00FC6F6F" w:rsidRPr="00DB21FC" w:rsidRDefault="00FC6F6F" w:rsidP="00E40766">
            <w:pPr>
              <w:spacing w:before="0" w:after="0" w:line="240" w:lineRule="auto"/>
              <w:jc w:val="center"/>
              <w:rPr>
                <w:rFonts w:eastAsia="Times New Roman" w:cs="Arial"/>
                <w:b/>
                <w:bCs/>
                <w:color w:val="000000"/>
                <w:sz w:val="20"/>
                <w:szCs w:val="20"/>
                <w:lang w:eastAsia="pt-BR"/>
              </w:rPr>
            </w:pPr>
            <w:r w:rsidRPr="00DB21FC">
              <w:rPr>
                <w:rFonts w:eastAsia="Times New Roman" w:cs="Arial"/>
                <w:b/>
                <w:bCs/>
                <w:color w:val="000000"/>
                <w:sz w:val="20"/>
                <w:szCs w:val="20"/>
                <w:lang w:eastAsia="pt-BR"/>
              </w:rPr>
              <w:t>Share (%)</w:t>
            </w:r>
          </w:p>
        </w:tc>
        <w:tc>
          <w:tcPr>
            <w:tcW w:w="1600" w:type="dxa"/>
            <w:tcBorders>
              <w:top w:val="single" w:sz="8" w:space="0" w:color="auto"/>
              <w:left w:val="nil"/>
              <w:bottom w:val="single" w:sz="4" w:space="0" w:color="auto"/>
              <w:right w:val="nil"/>
            </w:tcBorders>
            <w:shd w:val="clear" w:color="000000" w:fill="FFFFFF"/>
            <w:vAlign w:val="center"/>
            <w:hideMark/>
          </w:tcPr>
          <w:p w:rsidR="00FC6F6F" w:rsidRPr="00DB21FC" w:rsidRDefault="00FC6F6F" w:rsidP="00E40766">
            <w:pPr>
              <w:spacing w:before="0" w:after="0" w:line="240" w:lineRule="auto"/>
              <w:jc w:val="center"/>
              <w:rPr>
                <w:rFonts w:eastAsia="Times New Roman" w:cs="Arial"/>
                <w:b/>
                <w:bCs/>
                <w:color w:val="000000"/>
                <w:sz w:val="20"/>
                <w:szCs w:val="20"/>
                <w:lang w:eastAsia="pt-BR"/>
              </w:rPr>
            </w:pPr>
            <w:r w:rsidRPr="00DB21FC">
              <w:rPr>
                <w:rFonts w:eastAsia="Times New Roman" w:cs="Arial"/>
                <w:b/>
                <w:bCs/>
                <w:color w:val="000000"/>
                <w:sz w:val="20"/>
                <w:szCs w:val="20"/>
                <w:lang w:eastAsia="pt-BR"/>
              </w:rPr>
              <w:t>Number of countries</w:t>
            </w:r>
          </w:p>
        </w:tc>
        <w:tc>
          <w:tcPr>
            <w:tcW w:w="1600" w:type="dxa"/>
            <w:tcBorders>
              <w:top w:val="single" w:sz="4" w:space="0" w:color="auto"/>
              <w:left w:val="nil"/>
              <w:bottom w:val="single" w:sz="4" w:space="0" w:color="auto"/>
              <w:right w:val="nil"/>
            </w:tcBorders>
            <w:shd w:val="clear" w:color="000000" w:fill="FFFFFF"/>
            <w:vAlign w:val="center"/>
            <w:hideMark/>
          </w:tcPr>
          <w:p w:rsidR="00FC6F6F" w:rsidRPr="00DB21FC" w:rsidRDefault="00FC6F6F" w:rsidP="00E40766">
            <w:pPr>
              <w:spacing w:before="0" w:after="0" w:line="240" w:lineRule="auto"/>
              <w:jc w:val="center"/>
              <w:rPr>
                <w:rFonts w:eastAsia="Times New Roman" w:cs="Arial"/>
                <w:b/>
                <w:bCs/>
                <w:color w:val="000000"/>
                <w:sz w:val="20"/>
                <w:szCs w:val="20"/>
                <w:lang w:eastAsia="pt-BR"/>
              </w:rPr>
            </w:pPr>
            <w:r w:rsidRPr="00DB21FC">
              <w:rPr>
                <w:rFonts w:eastAsia="Times New Roman" w:cs="Arial"/>
                <w:b/>
                <w:bCs/>
                <w:color w:val="000000"/>
                <w:sz w:val="20"/>
                <w:szCs w:val="20"/>
                <w:lang w:eastAsia="pt-BR"/>
              </w:rPr>
              <w:t>Global Carbon Budget Consumed (%)</w:t>
            </w:r>
          </w:p>
        </w:tc>
      </w:tr>
      <w:tr w:rsidR="00FC6F6F" w:rsidRPr="00BC5C89" w:rsidTr="00AA3928">
        <w:trPr>
          <w:trHeight w:val="300"/>
          <w:jc w:val="center"/>
        </w:trPr>
        <w:tc>
          <w:tcPr>
            <w:tcW w:w="1600" w:type="dxa"/>
            <w:tcBorders>
              <w:top w:val="nil"/>
              <w:left w:val="nil"/>
              <w:bottom w:val="single" w:sz="4" w:space="0" w:color="auto"/>
              <w:right w:val="nil"/>
            </w:tcBorders>
            <w:shd w:val="clear" w:color="000000" w:fill="FFFFFF"/>
            <w:noWrap/>
            <w:vAlign w:val="bottom"/>
            <w:hideMark/>
          </w:tcPr>
          <w:p w:rsidR="00FC6F6F" w:rsidRPr="00DB21FC" w:rsidRDefault="00FC6F6F" w:rsidP="00E40766">
            <w:pPr>
              <w:spacing w:before="0" w:after="0" w:line="240" w:lineRule="auto"/>
              <w:jc w:val="left"/>
              <w:rPr>
                <w:rFonts w:eastAsia="Times New Roman" w:cs="Arial"/>
                <w:b/>
                <w:color w:val="000000"/>
                <w:sz w:val="20"/>
                <w:szCs w:val="20"/>
                <w:lang w:eastAsia="pt-BR"/>
              </w:rPr>
            </w:pPr>
            <w:r w:rsidRPr="00DB21FC">
              <w:rPr>
                <w:rFonts w:eastAsia="Times New Roman" w:cs="Arial"/>
                <w:b/>
                <w:color w:val="000000"/>
                <w:sz w:val="20"/>
                <w:szCs w:val="20"/>
                <w:lang w:eastAsia="pt-BR"/>
              </w:rPr>
              <w:t>World</w:t>
            </w:r>
          </w:p>
        </w:tc>
        <w:tc>
          <w:tcPr>
            <w:tcW w:w="1600" w:type="dxa"/>
            <w:tcBorders>
              <w:top w:val="nil"/>
              <w:left w:val="nil"/>
              <w:bottom w:val="single" w:sz="4" w:space="0" w:color="auto"/>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1284.58</w:t>
            </w:r>
          </w:p>
        </w:tc>
        <w:tc>
          <w:tcPr>
            <w:tcW w:w="1600" w:type="dxa"/>
            <w:tcBorders>
              <w:top w:val="nil"/>
              <w:left w:val="nil"/>
              <w:bottom w:val="single" w:sz="4" w:space="0" w:color="auto"/>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100.00%</w:t>
            </w:r>
          </w:p>
        </w:tc>
        <w:tc>
          <w:tcPr>
            <w:tcW w:w="1600" w:type="dxa"/>
            <w:tcBorders>
              <w:top w:val="nil"/>
              <w:left w:val="nil"/>
              <w:bottom w:val="single" w:sz="4" w:space="0" w:color="auto"/>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w:t>
            </w:r>
          </w:p>
        </w:tc>
        <w:tc>
          <w:tcPr>
            <w:tcW w:w="1600" w:type="dxa"/>
            <w:tcBorders>
              <w:top w:val="nil"/>
              <w:left w:val="nil"/>
              <w:bottom w:val="single" w:sz="4" w:space="0" w:color="auto"/>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44.30%</w:t>
            </w:r>
          </w:p>
        </w:tc>
      </w:tr>
      <w:tr w:rsidR="00FC6F6F" w:rsidRPr="00BC5C89" w:rsidTr="00AA3928">
        <w:trPr>
          <w:trHeight w:val="300"/>
          <w:jc w:val="center"/>
        </w:trPr>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left"/>
              <w:rPr>
                <w:rFonts w:eastAsia="Times New Roman" w:cs="Arial"/>
                <w:b/>
                <w:color w:val="000000"/>
                <w:sz w:val="20"/>
                <w:szCs w:val="20"/>
                <w:lang w:eastAsia="pt-BR"/>
              </w:rPr>
            </w:pPr>
            <w:r w:rsidRPr="00DB21FC">
              <w:rPr>
                <w:rFonts w:eastAsia="Times New Roman" w:cs="Arial"/>
                <w:b/>
                <w:color w:val="000000"/>
                <w:sz w:val="20"/>
                <w:szCs w:val="20"/>
                <w:lang w:eastAsia="pt-BR"/>
              </w:rPr>
              <w:t>Annex I</w:t>
            </w:r>
          </w:p>
        </w:tc>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904.60</w:t>
            </w:r>
          </w:p>
        </w:tc>
        <w:tc>
          <w:tcPr>
            <w:tcW w:w="1600" w:type="dxa"/>
            <w:tcBorders>
              <w:top w:val="nil"/>
              <w:left w:val="nil"/>
              <w:bottom w:val="nil"/>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70.42%</w:t>
            </w:r>
          </w:p>
        </w:tc>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 xml:space="preserve">39 </w:t>
            </w:r>
          </w:p>
        </w:tc>
        <w:tc>
          <w:tcPr>
            <w:tcW w:w="1600" w:type="dxa"/>
            <w:tcBorders>
              <w:top w:val="nil"/>
              <w:left w:val="nil"/>
              <w:bottom w:val="nil"/>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31.19%</w:t>
            </w:r>
          </w:p>
        </w:tc>
      </w:tr>
      <w:tr w:rsidR="00FC6F6F" w:rsidRPr="00BC5C89" w:rsidTr="00AA3928">
        <w:trPr>
          <w:trHeight w:val="300"/>
          <w:jc w:val="center"/>
        </w:trPr>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left"/>
              <w:rPr>
                <w:rFonts w:eastAsia="Times New Roman" w:cs="Arial"/>
                <w:b/>
                <w:color w:val="000000"/>
                <w:sz w:val="20"/>
                <w:szCs w:val="20"/>
                <w:lang w:eastAsia="pt-BR"/>
              </w:rPr>
            </w:pPr>
            <w:r w:rsidRPr="00DB21FC">
              <w:rPr>
                <w:rFonts w:eastAsia="Times New Roman" w:cs="Arial"/>
                <w:b/>
                <w:color w:val="000000"/>
                <w:sz w:val="20"/>
                <w:szCs w:val="20"/>
                <w:lang w:eastAsia="pt-BR"/>
              </w:rPr>
              <w:t>BASIC</w:t>
            </w:r>
          </w:p>
        </w:tc>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185.25</w:t>
            </w:r>
          </w:p>
        </w:tc>
        <w:tc>
          <w:tcPr>
            <w:tcW w:w="1600" w:type="dxa"/>
            <w:tcBorders>
              <w:top w:val="nil"/>
              <w:left w:val="nil"/>
              <w:bottom w:val="nil"/>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14.42%</w:t>
            </w:r>
          </w:p>
        </w:tc>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 xml:space="preserve">4 </w:t>
            </w:r>
          </w:p>
        </w:tc>
        <w:tc>
          <w:tcPr>
            <w:tcW w:w="1600" w:type="dxa"/>
            <w:tcBorders>
              <w:top w:val="nil"/>
              <w:left w:val="nil"/>
              <w:bottom w:val="nil"/>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6.39%</w:t>
            </w:r>
          </w:p>
        </w:tc>
      </w:tr>
      <w:tr w:rsidR="00FC6F6F" w:rsidRPr="00BC5C89" w:rsidTr="00AA3928">
        <w:trPr>
          <w:trHeight w:val="300"/>
          <w:jc w:val="center"/>
        </w:trPr>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left"/>
              <w:rPr>
                <w:rFonts w:eastAsia="Times New Roman" w:cs="Arial"/>
                <w:b/>
                <w:color w:val="000000"/>
                <w:sz w:val="20"/>
                <w:szCs w:val="20"/>
                <w:lang w:eastAsia="pt-BR"/>
              </w:rPr>
            </w:pPr>
            <w:r w:rsidRPr="00DB21FC">
              <w:rPr>
                <w:rFonts w:eastAsia="Times New Roman" w:cs="Arial"/>
                <w:b/>
                <w:color w:val="000000"/>
                <w:sz w:val="20"/>
                <w:szCs w:val="20"/>
                <w:lang w:eastAsia="pt-BR"/>
              </w:rPr>
              <w:lastRenderedPageBreak/>
              <w:t>AOSIS</w:t>
            </w:r>
          </w:p>
        </w:tc>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4.91</w:t>
            </w:r>
          </w:p>
        </w:tc>
        <w:tc>
          <w:tcPr>
            <w:tcW w:w="1600" w:type="dxa"/>
            <w:tcBorders>
              <w:top w:val="nil"/>
              <w:left w:val="nil"/>
              <w:bottom w:val="nil"/>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0.38%</w:t>
            </w:r>
          </w:p>
        </w:tc>
        <w:tc>
          <w:tcPr>
            <w:tcW w:w="1600" w:type="dxa"/>
            <w:tcBorders>
              <w:top w:val="nil"/>
              <w:left w:val="nil"/>
              <w:bottom w:val="nil"/>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 xml:space="preserve">38 </w:t>
            </w:r>
          </w:p>
        </w:tc>
        <w:tc>
          <w:tcPr>
            <w:tcW w:w="1600" w:type="dxa"/>
            <w:tcBorders>
              <w:top w:val="nil"/>
              <w:left w:val="nil"/>
              <w:bottom w:val="nil"/>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0.17%</w:t>
            </w:r>
          </w:p>
        </w:tc>
      </w:tr>
      <w:tr w:rsidR="00FC6F6F" w:rsidRPr="00BC5C89" w:rsidTr="00AA3928">
        <w:trPr>
          <w:trHeight w:val="315"/>
          <w:jc w:val="center"/>
        </w:trPr>
        <w:tc>
          <w:tcPr>
            <w:tcW w:w="1600" w:type="dxa"/>
            <w:tcBorders>
              <w:top w:val="nil"/>
              <w:left w:val="nil"/>
              <w:bottom w:val="single" w:sz="8" w:space="0" w:color="auto"/>
              <w:right w:val="nil"/>
            </w:tcBorders>
            <w:shd w:val="clear" w:color="000000" w:fill="FFFFFF"/>
            <w:noWrap/>
            <w:vAlign w:val="bottom"/>
            <w:hideMark/>
          </w:tcPr>
          <w:p w:rsidR="00FC6F6F" w:rsidRPr="00DB21FC" w:rsidRDefault="00FC6F6F" w:rsidP="00E40766">
            <w:pPr>
              <w:spacing w:before="0" w:after="0" w:line="240" w:lineRule="auto"/>
              <w:jc w:val="left"/>
              <w:rPr>
                <w:rFonts w:eastAsia="Times New Roman" w:cs="Arial"/>
                <w:b/>
                <w:color w:val="000000"/>
                <w:sz w:val="20"/>
                <w:szCs w:val="20"/>
                <w:lang w:eastAsia="pt-BR"/>
              </w:rPr>
            </w:pPr>
            <w:r w:rsidRPr="00DB21FC">
              <w:rPr>
                <w:rFonts w:eastAsia="Times New Roman" w:cs="Arial"/>
                <w:b/>
                <w:color w:val="000000"/>
                <w:sz w:val="20"/>
                <w:szCs w:val="20"/>
                <w:lang w:eastAsia="pt-BR"/>
              </w:rPr>
              <w:t>Others</w:t>
            </w:r>
          </w:p>
        </w:tc>
        <w:tc>
          <w:tcPr>
            <w:tcW w:w="1600" w:type="dxa"/>
            <w:tcBorders>
              <w:top w:val="nil"/>
              <w:left w:val="nil"/>
              <w:bottom w:val="single" w:sz="8" w:space="0" w:color="auto"/>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153.79</w:t>
            </w:r>
          </w:p>
        </w:tc>
        <w:tc>
          <w:tcPr>
            <w:tcW w:w="1600" w:type="dxa"/>
            <w:tcBorders>
              <w:top w:val="nil"/>
              <w:left w:val="nil"/>
              <w:bottom w:val="single" w:sz="8" w:space="0" w:color="auto"/>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11.97%</w:t>
            </w:r>
          </w:p>
        </w:tc>
        <w:tc>
          <w:tcPr>
            <w:tcW w:w="1600" w:type="dxa"/>
            <w:tcBorders>
              <w:top w:val="nil"/>
              <w:left w:val="nil"/>
              <w:bottom w:val="single" w:sz="8" w:space="0" w:color="auto"/>
              <w:right w:val="nil"/>
            </w:tcBorders>
            <w:shd w:val="clear" w:color="000000" w:fill="FFFFFF"/>
            <w:noWrap/>
            <w:vAlign w:val="bottom"/>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 xml:space="preserve">110 </w:t>
            </w:r>
          </w:p>
        </w:tc>
        <w:tc>
          <w:tcPr>
            <w:tcW w:w="1600" w:type="dxa"/>
            <w:tcBorders>
              <w:top w:val="nil"/>
              <w:left w:val="nil"/>
              <w:bottom w:val="single" w:sz="8" w:space="0" w:color="auto"/>
              <w:right w:val="nil"/>
            </w:tcBorders>
            <w:shd w:val="clear" w:color="000000" w:fill="FFFFFF"/>
            <w:noWrap/>
            <w:vAlign w:val="center"/>
            <w:hideMark/>
          </w:tcPr>
          <w:p w:rsidR="00FC6F6F" w:rsidRPr="00DB21FC" w:rsidRDefault="00FC6F6F" w:rsidP="00E40766">
            <w:pPr>
              <w:spacing w:before="0" w:after="0" w:line="240" w:lineRule="auto"/>
              <w:jc w:val="center"/>
              <w:rPr>
                <w:rFonts w:eastAsia="Times New Roman" w:cs="Arial"/>
                <w:color w:val="000000"/>
                <w:sz w:val="20"/>
                <w:szCs w:val="20"/>
                <w:lang w:eastAsia="pt-BR"/>
              </w:rPr>
            </w:pPr>
            <w:r w:rsidRPr="00DB21FC">
              <w:rPr>
                <w:rFonts w:eastAsia="Times New Roman" w:cs="Arial"/>
                <w:color w:val="000000"/>
                <w:sz w:val="20"/>
                <w:szCs w:val="20"/>
                <w:lang w:eastAsia="pt-BR"/>
              </w:rPr>
              <w:t>5.30%</w:t>
            </w:r>
          </w:p>
        </w:tc>
      </w:tr>
    </w:tbl>
    <w:p w:rsidR="00FC6F6F" w:rsidRPr="004E3F60" w:rsidRDefault="00FC6F6F" w:rsidP="00FC6F6F">
      <w:pPr>
        <w:rPr>
          <w:sz w:val="20"/>
        </w:rPr>
      </w:pPr>
      <w:r w:rsidRPr="004E3F60">
        <w:rPr>
          <w:sz w:val="20"/>
        </w:rPr>
        <w:t>Source:</w:t>
      </w:r>
      <w:r>
        <w:rPr>
          <w:sz w:val="20"/>
        </w:rPr>
        <w:t xml:space="preserve"> </w:t>
      </w:r>
      <w:r w:rsidRPr="00FC6F6F">
        <w:rPr>
          <w:sz w:val="20"/>
        </w:rPr>
        <w:t>prepared by the authors</w:t>
      </w:r>
    </w:p>
    <w:p w:rsidR="00943E06" w:rsidRDefault="00943E06" w:rsidP="00D50843">
      <w:r w:rsidRPr="00943E06">
        <w:t>The Kyoto Protocol was the framework that ineffectively governed global climate governance in this context of uneven historical appropriation of the global carbon budget. This was due to the assignment to that set of countries (Annex I) of mandatory mitigation, technology transfer and financing of the pursuit of renewable energy and clean technologies for a low carbon future. One of the principles that governed this structure of the international climate regime was the Principle of Historical Responsibilities, a Brazilian suggestion to the Protocol's architecture (VIOLA, 2002; BUENO RUBIAL, 2016).</w:t>
      </w:r>
    </w:p>
    <w:p w:rsidR="005B2F3A" w:rsidRDefault="0027107A" w:rsidP="00D50843">
      <w:r w:rsidRPr="0027107A">
        <w:t xml:space="preserve">Table 2 shows the estimates of </w:t>
      </w:r>
      <w:r w:rsidR="00DE6CD1">
        <w:t>cumulative</w:t>
      </w:r>
      <w:r w:rsidRPr="0027107A">
        <w:t xml:space="preserve"> CO</w:t>
      </w:r>
      <w:r w:rsidRPr="00AE2CF3">
        <w:rPr>
          <w:vertAlign w:val="subscript"/>
        </w:rPr>
        <w:t>2</w:t>
      </w:r>
      <w:r w:rsidRPr="0027107A">
        <w:t xml:space="preserve"> emiss</w:t>
      </w:r>
      <w:r w:rsidR="007E288F">
        <w:t xml:space="preserve">ions for </w:t>
      </w:r>
      <w:r w:rsidR="00DE6CD1">
        <w:t xml:space="preserve">top ten </w:t>
      </w:r>
      <w:r w:rsidR="007E288F" w:rsidRPr="007E288F">
        <w:rPr>
          <w:i/>
        </w:rPr>
        <w:t>Carbon Majors C</w:t>
      </w:r>
      <w:r w:rsidRPr="007E288F">
        <w:rPr>
          <w:i/>
        </w:rPr>
        <w:t>ountries</w:t>
      </w:r>
      <w:r w:rsidRPr="0027107A">
        <w:t xml:space="preserve">, according to CAIT data, and for the ten largest </w:t>
      </w:r>
      <w:r w:rsidRPr="007E288F">
        <w:rPr>
          <w:i/>
        </w:rPr>
        <w:t>Oil Carbon Majors</w:t>
      </w:r>
      <w:r w:rsidRPr="0027107A">
        <w:t xml:space="preserve"> (oil and gas) companies, in the period 1850-2010. We note that the US economy emitted the equivalent of 353.86 GtCO</w:t>
      </w:r>
      <w:r w:rsidRPr="007E288F">
        <w:rPr>
          <w:vertAlign w:val="subscript"/>
        </w:rPr>
        <w:t>2</w:t>
      </w:r>
      <w:r w:rsidRPr="0027107A">
        <w:t xml:space="preserve"> in the period analyzed. This amount exceeds the sum of 181 other countries, that is, there is an unequal appropriation between countries. It reinforces the idea that poor countries, which have contributed little (or not appropriate) to the consumpti</w:t>
      </w:r>
      <w:r w:rsidR="007E288F">
        <w:t xml:space="preserve">on of the global carbon budget – </w:t>
      </w:r>
      <w:r w:rsidRPr="0027107A">
        <w:t xml:space="preserve">here we call </w:t>
      </w:r>
      <w:r w:rsidRPr="007E288F">
        <w:rPr>
          <w:i/>
        </w:rPr>
        <w:t>Carbon Minors</w:t>
      </w:r>
      <w:r w:rsidR="007E288F">
        <w:t xml:space="preserve"> </w:t>
      </w:r>
      <w:r w:rsidR="007E288F" w:rsidRPr="007E288F">
        <w:rPr>
          <w:i/>
        </w:rPr>
        <w:t>Countries</w:t>
      </w:r>
      <w:r w:rsidR="007E288F">
        <w:t xml:space="preserve"> – </w:t>
      </w:r>
      <w:r w:rsidRPr="0027107A">
        <w:t>do not have the same responsibilities as those countries that industrialized through the excessive appropriation of this common resource.</w:t>
      </w:r>
    </w:p>
    <w:p w:rsidR="00C87171" w:rsidRPr="00C87171" w:rsidRDefault="00C87171" w:rsidP="005A2B72">
      <w:pPr>
        <w:spacing w:line="240" w:lineRule="auto"/>
        <w:jc w:val="center"/>
        <w:rPr>
          <w:b/>
        </w:rPr>
      </w:pPr>
      <w:r w:rsidRPr="00C87171">
        <w:rPr>
          <w:b/>
        </w:rPr>
        <w:t xml:space="preserve">Table 2 </w:t>
      </w:r>
      <w:r w:rsidR="001730CD">
        <w:rPr>
          <w:b/>
        </w:rPr>
        <w:t>–</w:t>
      </w:r>
      <w:r w:rsidRPr="00C87171">
        <w:rPr>
          <w:b/>
        </w:rPr>
        <w:t xml:space="preserve"> </w:t>
      </w:r>
      <w:r w:rsidR="001730CD">
        <w:rPr>
          <w:b/>
        </w:rPr>
        <w:t xml:space="preserve">Top </w:t>
      </w:r>
      <w:r w:rsidRPr="00C87171">
        <w:rPr>
          <w:b/>
        </w:rPr>
        <w:t>ten carbon-emitt</w:t>
      </w:r>
      <w:r w:rsidR="001730CD">
        <w:rPr>
          <w:b/>
        </w:rPr>
        <w:t>ers</w:t>
      </w:r>
      <w:r w:rsidRPr="00C87171">
        <w:rPr>
          <w:b/>
        </w:rPr>
        <w:t xml:space="preserve"> </w:t>
      </w:r>
      <w:r w:rsidRPr="00C87171">
        <w:rPr>
          <w:b/>
          <w:i/>
        </w:rPr>
        <w:t>Countries Carbon Majors</w:t>
      </w:r>
      <w:r w:rsidRPr="00C87171">
        <w:rPr>
          <w:b/>
        </w:rPr>
        <w:t xml:space="preserve"> and </w:t>
      </w:r>
      <w:r w:rsidR="001730CD">
        <w:rPr>
          <w:b/>
        </w:rPr>
        <w:br/>
        <w:t xml:space="preserve">top </w:t>
      </w:r>
      <w:r w:rsidRPr="00C87171">
        <w:rPr>
          <w:b/>
        </w:rPr>
        <w:t xml:space="preserve">ten carbon-emitters </w:t>
      </w:r>
      <w:r w:rsidRPr="00C87171">
        <w:rPr>
          <w:b/>
          <w:i/>
        </w:rPr>
        <w:t>Oil Carbon Majors</w:t>
      </w:r>
      <w:r w:rsidRPr="00C87171">
        <w:rPr>
          <w:b/>
        </w:rPr>
        <w:t xml:space="preserve"> (1850-2010)</w:t>
      </w:r>
    </w:p>
    <w:tbl>
      <w:tblPr>
        <w:tblW w:w="7328" w:type="dxa"/>
        <w:jc w:val="center"/>
        <w:tblInd w:w="55" w:type="dxa"/>
        <w:tblCellMar>
          <w:left w:w="70" w:type="dxa"/>
          <w:right w:w="70" w:type="dxa"/>
        </w:tblCellMar>
        <w:tblLook w:val="04A0" w:firstRow="1" w:lastRow="0" w:firstColumn="1" w:lastColumn="0" w:noHBand="0" w:noVBand="1"/>
      </w:tblPr>
      <w:tblGrid>
        <w:gridCol w:w="2132"/>
        <w:gridCol w:w="997"/>
        <w:gridCol w:w="479"/>
        <w:gridCol w:w="2760"/>
        <w:gridCol w:w="960"/>
      </w:tblGrid>
      <w:tr w:rsidR="00C87171" w:rsidRPr="00C87171" w:rsidTr="00FC6F6F">
        <w:trPr>
          <w:trHeight w:val="360"/>
          <w:jc w:val="center"/>
        </w:trPr>
        <w:tc>
          <w:tcPr>
            <w:tcW w:w="2132" w:type="dxa"/>
            <w:tcBorders>
              <w:top w:val="single" w:sz="8" w:space="0" w:color="auto"/>
              <w:left w:val="nil"/>
              <w:bottom w:val="single" w:sz="4" w:space="0" w:color="auto"/>
              <w:right w:val="nil"/>
            </w:tcBorders>
            <w:shd w:val="clear" w:color="000000" w:fill="FFFFFF"/>
            <w:noWrap/>
            <w:vAlign w:val="bottom"/>
            <w:hideMark/>
          </w:tcPr>
          <w:p w:rsidR="00C87171" w:rsidRPr="00C87171" w:rsidRDefault="00C87171" w:rsidP="00C87171">
            <w:pPr>
              <w:spacing w:before="0" w:after="0" w:line="240" w:lineRule="auto"/>
              <w:jc w:val="center"/>
              <w:rPr>
                <w:rFonts w:eastAsia="Times New Roman" w:cs="Arial"/>
                <w:b/>
                <w:bCs/>
                <w:color w:val="000000"/>
                <w:sz w:val="20"/>
                <w:szCs w:val="20"/>
                <w:lang w:eastAsia="pt-BR"/>
              </w:rPr>
            </w:pPr>
            <w:bookmarkStart w:id="0" w:name="_GoBack"/>
            <w:r w:rsidRPr="00C87171">
              <w:rPr>
                <w:rFonts w:eastAsia="Times New Roman" w:cs="Arial"/>
                <w:b/>
                <w:bCs/>
                <w:color w:val="000000"/>
                <w:sz w:val="20"/>
                <w:szCs w:val="20"/>
                <w:lang w:eastAsia="pt-BR"/>
              </w:rPr>
              <w:t>Country</w:t>
            </w:r>
          </w:p>
        </w:tc>
        <w:tc>
          <w:tcPr>
            <w:tcW w:w="997" w:type="dxa"/>
            <w:tcBorders>
              <w:top w:val="single" w:sz="8" w:space="0" w:color="auto"/>
              <w:left w:val="nil"/>
              <w:bottom w:val="single" w:sz="4" w:space="0" w:color="auto"/>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b/>
                <w:bCs/>
                <w:color w:val="000000"/>
                <w:sz w:val="20"/>
                <w:szCs w:val="20"/>
                <w:lang w:eastAsia="pt-BR"/>
              </w:rPr>
            </w:pPr>
            <w:r w:rsidRPr="00C87171">
              <w:rPr>
                <w:rFonts w:eastAsia="Times New Roman" w:cs="Arial"/>
                <w:b/>
                <w:bCs/>
                <w:color w:val="000000"/>
                <w:sz w:val="20"/>
                <w:szCs w:val="20"/>
                <w:lang w:eastAsia="pt-BR"/>
              </w:rPr>
              <w:t>GtCO</w:t>
            </w:r>
            <w:r w:rsidRPr="00C87171">
              <w:rPr>
                <w:rFonts w:eastAsia="Times New Roman" w:cs="Arial"/>
                <w:b/>
                <w:bCs/>
                <w:color w:val="000000"/>
                <w:sz w:val="20"/>
                <w:szCs w:val="20"/>
                <w:vertAlign w:val="subscript"/>
                <w:lang w:eastAsia="pt-BR"/>
              </w:rPr>
              <w:t>2</w:t>
            </w:r>
          </w:p>
        </w:tc>
        <w:tc>
          <w:tcPr>
            <w:tcW w:w="479" w:type="dxa"/>
            <w:tcBorders>
              <w:top w:val="single" w:sz="8" w:space="0" w:color="auto"/>
              <w:left w:val="nil"/>
              <w:bottom w:val="single" w:sz="4" w:space="0" w:color="auto"/>
              <w:right w:val="nil"/>
            </w:tcBorders>
            <w:shd w:val="clear" w:color="auto" w:fill="auto"/>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single" w:sz="8" w:space="0" w:color="auto"/>
              <w:left w:val="nil"/>
              <w:bottom w:val="single" w:sz="4" w:space="0" w:color="auto"/>
              <w:right w:val="nil"/>
            </w:tcBorders>
            <w:shd w:val="clear" w:color="000000" w:fill="FFFFFF"/>
            <w:noWrap/>
            <w:vAlign w:val="bottom"/>
            <w:hideMark/>
          </w:tcPr>
          <w:p w:rsidR="00C87171" w:rsidRPr="00C87171" w:rsidRDefault="00AE2CF3" w:rsidP="00C87171">
            <w:pPr>
              <w:spacing w:before="0" w:after="0" w:line="240" w:lineRule="auto"/>
              <w:jc w:val="center"/>
              <w:rPr>
                <w:rFonts w:eastAsia="Times New Roman" w:cs="Arial"/>
                <w:b/>
                <w:bCs/>
                <w:color w:val="000000"/>
                <w:sz w:val="20"/>
                <w:szCs w:val="20"/>
                <w:lang w:eastAsia="pt-BR"/>
              </w:rPr>
            </w:pPr>
            <w:r>
              <w:rPr>
                <w:rFonts w:eastAsia="Times New Roman" w:cs="Arial"/>
                <w:b/>
                <w:bCs/>
                <w:color w:val="000000"/>
                <w:sz w:val="20"/>
                <w:szCs w:val="20"/>
                <w:lang w:eastAsia="pt-BR"/>
              </w:rPr>
              <w:t>Company</w:t>
            </w:r>
          </w:p>
        </w:tc>
        <w:tc>
          <w:tcPr>
            <w:tcW w:w="960" w:type="dxa"/>
            <w:tcBorders>
              <w:top w:val="single" w:sz="8" w:space="0" w:color="auto"/>
              <w:left w:val="nil"/>
              <w:bottom w:val="single" w:sz="4" w:space="0" w:color="auto"/>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b/>
                <w:bCs/>
                <w:color w:val="000000"/>
                <w:sz w:val="20"/>
                <w:szCs w:val="20"/>
                <w:lang w:eastAsia="pt-BR"/>
              </w:rPr>
            </w:pPr>
            <w:r w:rsidRPr="00C87171">
              <w:rPr>
                <w:rFonts w:eastAsia="Times New Roman" w:cs="Arial"/>
                <w:b/>
                <w:bCs/>
                <w:color w:val="000000"/>
                <w:sz w:val="20"/>
                <w:szCs w:val="20"/>
                <w:lang w:eastAsia="pt-BR"/>
              </w:rPr>
              <w:t>GtCO</w:t>
            </w:r>
            <w:r w:rsidRPr="00C87171">
              <w:rPr>
                <w:rFonts w:eastAsia="Times New Roman" w:cs="Arial"/>
                <w:b/>
                <w:bCs/>
                <w:color w:val="000000"/>
                <w:sz w:val="20"/>
                <w:szCs w:val="20"/>
                <w:vertAlign w:val="subscript"/>
                <w:lang w:eastAsia="pt-BR"/>
              </w:rPr>
              <w:t>2</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USA</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353.86</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ChevronTexaco</w:t>
            </w:r>
          </w:p>
        </w:tc>
        <w:tc>
          <w:tcPr>
            <w:tcW w:w="960" w:type="dxa"/>
            <w:tcBorders>
              <w:top w:val="nil"/>
              <w:left w:val="nil"/>
              <w:bottom w:val="nil"/>
              <w:right w:val="nil"/>
            </w:tcBorders>
            <w:shd w:val="clear" w:color="000000" w:fill="FFFFFF"/>
            <w:noWrap/>
            <w:vAlign w:val="center"/>
            <w:hideMark/>
          </w:tcPr>
          <w:p w:rsidR="00C87171" w:rsidRPr="00C87171" w:rsidRDefault="00DB21FC" w:rsidP="00C87171">
            <w:pPr>
              <w:spacing w:before="0" w:after="0" w:line="240" w:lineRule="auto"/>
              <w:jc w:val="center"/>
              <w:rPr>
                <w:rFonts w:eastAsia="Times New Roman" w:cs="Arial"/>
                <w:color w:val="000000"/>
                <w:sz w:val="20"/>
                <w:szCs w:val="20"/>
                <w:lang w:eastAsia="pt-BR"/>
              </w:rPr>
            </w:pPr>
            <w:r>
              <w:rPr>
                <w:rFonts w:eastAsia="Times New Roman" w:cs="Arial"/>
                <w:color w:val="000000"/>
                <w:sz w:val="20"/>
                <w:szCs w:val="20"/>
                <w:lang w:eastAsia="pt-BR"/>
              </w:rPr>
              <w:t>51.</w:t>
            </w:r>
            <w:r w:rsidR="00C87171" w:rsidRPr="00C87171">
              <w:rPr>
                <w:rFonts w:eastAsia="Times New Roman" w:cs="Arial"/>
                <w:color w:val="000000"/>
                <w:sz w:val="20"/>
                <w:szCs w:val="20"/>
                <w:lang w:eastAsia="pt-BR"/>
              </w:rPr>
              <w:t>10</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China</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129.02</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ExxonMobil</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46.67</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Russia</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98.83</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 xml:space="preserve">Saudi Aramco </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46.03</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Germany</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82.99</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BP</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35.84</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 xml:space="preserve">United </w:t>
            </w:r>
            <w:r w:rsidR="00FC6F6F" w:rsidRPr="00DB21FC">
              <w:rPr>
                <w:rFonts w:eastAsia="Times New Roman" w:cs="Arial"/>
                <w:b/>
                <w:bCs/>
                <w:color w:val="000000"/>
                <w:sz w:val="20"/>
                <w:szCs w:val="20"/>
                <w:lang w:eastAsia="pt-BR"/>
              </w:rPr>
              <w:t>Kingdom</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69.50</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Gazprom</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32.14</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Japan</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47.78</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Royal Dutch Shell</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30.75</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France</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33.34</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 xml:space="preserve">National Iranian Oil </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29.08</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India</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31.46</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Pemex</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20.03</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Canada</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26.89</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ConocoPhillips</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16.87</w:t>
            </w:r>
          </w:p>
        </w:tc>
      </w:tr>
      <w:tr w:rsidR="00C87171" w:rsidRPr="00C87171" w:rsidTr="00FC6F6F">
        <w:trPr>
          <w:trHeight w:val="315"/>
          <w:jc w:val="center"/>
        </w:trPr>
        <w:tc>
          <w:tcPr>
            <w:tcW w:w="2132" w:type="dxa"/>
            <w:tcBorders>
              <w:top w:val="nil"/>
              <w:left w:val="nil"/>
              <w:bottom w:val="nil"/>
              <w:right w:val="nil"/>
            </w:tcBorders>
            <w:shd w:val="clear" w:color="000000" w:fill="FFFFFF"/>
            <w:noWrap/>
            <w:vAlign w:val="bottom"/>
            <w:hideMark/>
          </w:tcPr>
          <w:p w:rsidR="00C87171" w:rsidRPr="00C87171" w:rsidRDefault="00FC6F6F" w:rsidP="00C87171">
            <w:pPr>
              <w:spacing w:before="0" w:after="0" w:line="240" w:lineRule="auto"/>
              <w:jc w:val="left"/>
              <w:rPr>
                <w:rFonts w:eastAsia="Times New Roman" w:cs="Arial"/>
                <w:b/>
                <w:bCs/>
                <w:color w:val="000000"/>
                <w:sz w:val="20"/>
                <w:szCs w:val="20"/>
                <w:lang w:eastAsia="pt-BR"/>
              </w:rPr>
            </w:pPr>
            <w:r w:rsidRPr="00DB21FC">
              <w:rPr>
                <w:rFonts w:eastAsia="Times New Roman" w:cs="Arial"/>
                <w:b/>
                <w:bCs/>
                <w:color w:val="000000"/>
                <w:sz w:val="20"/>
                <w:szCs w:val="20"/>
                <w:lang w:eastAsia="pt-BR"/>
              </w:rPr>
              <w:t>Ukraine</w:t>
            </w:r>
          </w:p>
        </w:tc>
        <w:tc>
          <w:tcPr>
            <w:tcW w:w="997"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26.63</w:t>
            </w:r>
          </w:p>
        </w:tc>
        <w:tc>
          <w:tcPr>
            <w:tcW w:w="479"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nil"/>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proofErr w:type="spellStart"/>
            <w:r w:rsidRPr="00C87171">
              <w:rPr>
                <w:rFonts w:eastAsia="Times New Roman" w:cs="Arial"/>
                <w:b/>
                <w:bCs/>
                <w:color w:val="000000"/>
                <w:sz w:val="20"/>
                <w:szCs w:val="20"/>
                <w:lang w:eastAsia="pt-BR"/>
              </w:rPr>
              <w:t>Petroleos</w:t>
            </w:r>
            <w:proofErr w:type="spellEnd"/>
            <w:r w:rsidRPr="00C87171">
              <w:rPr>
                <w:rFonts w:eastAsia="Times New Roman" w:cs="Arial"/>
                <w:b/>
                <w:bCs/>
                <w:color w:val="000000"/>
                <w:sz w:val="20"/>
                <w:szCs w:val="20"/>
                <w:lang w:eastAsia="pt-BR"/>
              </w:rPr>
              <w:t xml:space="preserve"> de Venezuela</w:t>
            </w:r>
          </w:p>
        </w:tc>
        <w:tc>
          <w:tcPr>
            <w:tcW w:w="960" w:type="dxa"/>
            <w:tcBorders>
              <w:top w:val="nil"/>
              <w:left w:val="nil"/>
              <w:bottom w:val="nil"/>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16.16</w:t>
            </w:r>
          </w:p>
        </w:tc>
      </w:tr>
      <w:tr w:rsidR="00C87171" w:rsidRPr="00C87171" w:rsidTr="00FC6F6F">
        <w:trPr>
          <w:trHeight w:val="315"/>
          <w:jc w:val="center"/>
        </w:trPr>
        <w:tc>
          <w:tcPr>
            <w:tcW w:w="2132" w:type="dxa"/>
            <w:tcBorders>
              <w:top w:val="nil"/>
              <w:left w:val="nil"/>
              <w:bottom w:val="single" w:sz="4" w:space="0" w:color="auto"/>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Others¹</w:t>
            </w:r>
          </w:p>
        </w:tc>
        <w:tc>
          <w:tcPr>
            <w:tcW w:w="997" w:type="dxa"/>
            <w:tcBorders>
              <w:top w:val="nil"/>
              <w:left w:val="nil"/>
              <w:bottom w:val="single" w:sz="4" w:space="0" w:color="auto"/>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348.66</w:t>
            </w:r>
          </w:p>
        </w:tc>
        <w:tc>
          <w:tcPr>
            <w:tcW w:w="479" w:type="dxa"/>
            <w:tcBorders>
              <w:top w:val="nil"/>
              <w:left w:val="nil"/>
              <w:bottom w:val="single" w:sz="4" w:space="0" w:color="auto"/>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single" w:sz="4" w:space="0" w:color="auto"/>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 xml:space="preserve">Others² </w:t>
            </w:r>
          </w:p>
        </w:tc>
        <w:tc>
          <w:tcPr>
            <w:tcW w:w="960" w:type="dxa"/>
            <w:tcBorders>
              <w:top w:val="nil"/>
              <w:left w:val="nil"/>
              <w:bottom w:val="single" w:sz="4" w:space="0" w:color="auto"/>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277.79</w:t>
            </w:r>
          </w:p>
        </w:tc>
      </w:tr>
      <w:tr w:rsidR="00C87171" w:rsidRPr="00C87171" w:rsidTr="00FC6F6F">
        <w:trPr>
          <w:trHeight w:val="330"/>
          <w:jc w:val="center"/>
        </w:trPr>
        <w:tc>
          <w:tcPr>
            <w:tcW w:w="2132" w:type="dxa"/>
            <w:tcBorders>
              <w:top w:val="nil"/>
              <w:left w:val="nil"/>
              <w:bottom w:val="single" w:sz="8" w:space="0" w:color="auto"/>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World</w:t>
            </w:r>
          </w:p>
        </w:tc>
        <w:tc>
          <w:tcPr>
            <w:tcW w:w="997" w:type="dxa"/>
            <w:tcBorders>
              <w:top w:val="nil"/>
              <w:left w:val="nil"/>
              <w:bottom w:val="single" w:sz="8" w:space="0" w:color="auto"/>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1,248.95</w:t>
            </w:r>
          </w:p>
        </w:tc>
        <w:tc>
          <w:tcPr>
            <w:tcW w:w="479" w:type="dxa"/>
            <w:tcBorders>
              <w:top w:val="nil"/>
              <w:left w:val="nil"/>
              <w:bottom w:val="single" w:sz="8" w:space="0" w:color="auto"/>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color w:val="000000"/>
                <w:sz w:val="20"/>
                <w:szCs w:val="20"/>
                <w:lang w:eastAsia="pt-BR"/>
              </w:rPr>
            </w:pPr>
            <w:r w:rsidRPr="00C87171">
              <w:rPr>
                <w:rFonts w:eastAsia="Times New Roman" w:cs="Arial"/>
                <w:color w:val="000000"/>
                <w:sz w:val="20"/>
                <w:szCs w:val="20"/>
                <w:lang w:eastAsia="pt-BR"/>
              </w:rPr>
              <w:t> </w:t>
            </w:r>
          </w:p>
        </w:tc>
        <w:tc>
          <w:tcPr>
            <w:tcW w:w="2760" w:type="dxa"/>
            <w:tcBorders>
              <w:top w:val="nil"/>
              <w:left w:val="nil"/>
              <w:bottom w:val="single" w:sz="8" w:space="0" w:color="auto"/>
              <w:right w:val="nil"/>
            </w:tcBorders>
            <w:shd w:val="clear" w:color="000000" w:fill="FFFFFF"/>
            <w:noWrap/>
            <w:vAlign w:val="bottom"/>
            <w:hideMark/>
          </w:tcPr>
          <w:p w:rsidR="00C87171" w:rsidRPr="00C87171" w:rsidRDefault="00C87171" w:rsidP="00C87171">
            <w:pPr>
              <w:spacing w:before="0" w:after="0" w:line="240" w:lineRule="auto"/>
              <w:jc w:val="left"/>
              <w:rPr>
                <w:rFonts w:eastAsia="Times New Roman" w:cs="Arial"/>
                <w:b/>
                <w:bCs/>
                <w:color w:val="000000"/>
                <w:sz w:val="20"/>
                <w:szCs w:val="20"/>
                <w:lang w:eastAsia="pt-BR"/>
              </w:rPr>
            </w:pPr>
            <w:r w:rsidRPr="00C87171">
              <w:rPr>
                <w:rFonts w:eastAsia="Times New Roman" w:cs="Arial"/>
                <w:b/>
                <w:bCs/>
                <w:color w:val="000000"/>
                <w:sz w:val="20"/>
                <w:szCs w:val="20"/>
                <w:lang w:eastAsia="pt-BR"/>
              </w:rPr>
              <w:t>Total</w:t>
            </w:r>
          </w:p>
        </w:tc>
        <w:tc>
          <w:tcPr>
            <w:tcW w:w="960" w:type="dxa"/>
            <w:tcBorders>
              <w:top w:val="nil"/>
              <w:left w:val="nil"/>
              <w:bottom w:val="single" w:sz="8" w:space="0" w:color="auto"/>
              <w:right w:val="nil"/>
            </w:tcBorders>
            <w:shd w:val="clear" w:color="000000" w:fill="FFFFFF"/>
            <w:noWrap/>
            <w:vAlign w:val="center"/>
            <w:hideMark/>
          </w:tcPr>
          <w:p w:rsidR="00C87171" w:rsidRPr="00C87171" w:rsidRDefault="00C87171" w:rsidP="00C87171">
            <w:pPr>
              <w:spacing w:before="0" w:after="0" w:line="240" w:lineRule="auto"/>
              <w:jc w:val="center"/>
              <w:rPr>
                <w:rFonts w:eastAsia="Times New Roman" w:cs="Arial"/>
                <w:color w:val="000000"/>
                <w:sz w:val="20"/>
                <w:szCs w:val="20"/>
                <w:lang w:eastAsia="pt-BR"/>
              </w:rPr>
            </w:pPr>
            <w:r w:rsidRPr="00C87171">
              <w:rPr>
                <w:rFonts w:eastAsia="Times New Roman" w:cs="Arial"/>
                <w:color w:val="000000"/>
                <w:sz w:val="20"/>
                <w:szCs w:val="20"/>
                <w:lang w:eastAsia="pt-BR"/>
              </w:rPr>
              <w:t>602.46</w:t>
            </w:r>
          </w:p>
        </w:tc>
      </w:tr>
    </w:tbl>
    <w:bookmarkEnd w:id="0"/>
    <w:p w:rsidR="0027107A" w:rsidRPr="00FC6F6F" w:rsidRDefault="00FC6F6F" w:rsidP="0060181E">
      <w:pPr>
        <w:spacing w:after="0" w:line="240" w:lineRule="auto"/>
        <w:rPr>
          <w:sz w:val="20"/>
          <w:szCs w:val="20"/>
        </w:rPr>
      </w:pPr>
      <w:r w:rsidRPr="00FC6F6F">
        <w:rPr>
          <w:sz w:val="20"/>
          <w:szCs w:val="20"/>
        </w:rPr>
        <w:lastRenderedPageBreak/>
        <w:t xml:space="preserve">Note: ¹ Sum of 181 countries; ² Sum </w:t>
      </w:r>
      <w:proofErr w:type="gramStart"/>
      <w:r w:rsidRPr="00FC6F6F">
        <w:rPr>
          <w:sz w:val="20"/>
          <w:szCs w:val="20"/>
        </w:rPr>
        <w:t>of 71 oil, gas,</w:t>
      </w:r>
      <w:proofErr w:type="gramEnd"/>
      <w:r w:rsidRPr="00FC6F6F">
        <w:rPr>
          <w:sz w:val="20"/>
          <w:szCs w:val="20"/>
        </w:rPr>
        <w:t xml:space="preserve"> coal and cement companies</w:t>
      </w:r>
    </w:p>
    <w:p w:rsidR="00FC6F6F" w:rsidRPr="00FC6F6F" w:rsidRDefault="00FC6F6F" w:rsidP="00FC6F6F">
      <w:pPr>
        <w:spacing w:before="0" w:after="0" w:line="240" w:lineRule="auto"/>
        <w:rPr>
          <w:sz w:val="20"/>
          <w:szCs w:val="20"/>
        </w:rPr>
      </w:pPr>
      <w:r w:rsidRPr="00FC6F6F">
        <w:rPr>
          <w:sz w:val="20"/>
          <w:szCs w:val="20"/>
        </w:rPr>
        <w:t>Source: prepared by the authors</w:t>
      </w:r>
    </w:p>
    <w:p w:rsidR="00B54E38" w:rsidRDefault="00B54E38" w:rsidP="005B2F3A"/>
    <w:p w:rsidR="005B2F3A" w:rsidRDefault="005B2F3A" w:rsidP="005B2F3A">
      <w:r>
        <w:t xml:space="preserve">We argue that large and intensively polluting companies, especially those in the oil and gas sector, have appropriated a significant portion of the carbon budget. To these </w:t>
      </w:r>
      <w:r w:rsidRPr="004E3F60">
        <w:rPr>
          <w:i/>
        </w:rPr>
        <w:t xml:space="preserve">Carbon Major </w:t>
      </w:r>
      <w:r w:rsidR="004E3F60" w:rsidRPr="004E3F60">
        <w:rPr>
          <w:i/>
        </w:rPr>
        <w:t>Companies</w:t>
      </w:r>
      <w:r>
        <w:t>, about 602 GtCO</w:t>
      </w:r>
      <w:r w:rsidRPr="004E3F60">
        <w:rPr>
          <w:vertAlign w:val="subscript"/>
        </w:rPr>
        <w:t>2</w:t>
      </w:r>
      <w:r>
        <w:t xml:space="preserve"> of accumulated </w:t>
      </w:r>
      <w:r w:rsidR="004E3F60">
        <w:t>emissions are attributed during</w:t>
      </w:r>
      <w:r>
        <w:t xml:space="preserve"> 1850-2010, according to </w:t>
      </w:r>
      <w:proofErr w:type="spellStart"/>
      <w:r>
        <w:t>Heede</w:t>
      </w:r>
      <w:proofErr w:type="spellEnd"/>
      <w:r>
        <w:t xml:space="preserve"> (2014). </w:t>
      </w:r>
      <w:r w:rsidR="004E3F60" w:rsidRPr="004E3F60">
        <w:t>Note that ChevronTexaco has appropriated a larger share of the budget than Japan, for example.</w:t>
      </w:r>
      <w:r>
        <w:t xml:space="preserve"> Emissions attributed to four private companies (ChevronTexaco, Exxon, British Petroleum and Shell) total approximately 164 GtCO</w:t>
      </w:r>
      <w:r w:rsidRPr="004E3F60">
        <w:rPr>
          <w:vertAlign w:val="subscript"/>
        </w:rPr>
        <w:t>2</w:t>
      </w:r>
      <w:r>
        <w:t>, more than China consumed over the same period.</w:t>
      </w:r>
    </w:p>
    <w:p w:rsidR="005B2F3A" w:rsidRDefault="005B2F3A" w:rsidP="005B2F3A">
      <w:r>
        <w:t xml:space="preserve">Corporations have been conspicuously absent from any international arenas in which mandatory measures to address climate change are discussed, especially in thinking of adaptation measures and compensation for losses and </w:t>
      </w:r>
      <w:r w:rsidR="004E3F60">
        <w:t>damages</w:t>
      </w:r>
      <w:r>
        <w:t xml:space="preserve"> of vulnerable populations.</w:t>
      </w:r>
    </w:p>
    <w:p w:rsidR="00D50843" w:rsidRDefault="00D50843" w:rsidP="00115EE0">
      <w:pPr>
        <w:pStyle w:val="Ttulo1"/>
      </w:pPr>
      <w:r>
        <w:t>References</w:t>
      </w:r>
    </w:p>
    <w:p w:rsidR="00647F04" w:rsidRPr="00647F04" w:rsidRDefault="00647F04" w:rsidP="002D0F5C">
      <w:pPr>
        <w:rPr>
          <w:rFonts w:cs="Arial"/>
          <w:szCs w:val="24"/>
          <w:shd w:val="clear" w:color="auto" w:fill="FFFFFF"/>
        </w:rPr>
      </w:pPr>
      <w:proofErr w:type="spellStart"/>
      <w:r w:rsidRPr="00647F04">
        <w:rPr>
          <w:rFonts w:cs="Arial"/>
          <w:szCs w:val="24"/>
          <w:shd w:val="clear" w:color="auto" w:fill="FFFFFF"/>
        </w:rPr>
        <w:t>Heede</w:t>
      </w:r>
      <w:proofErr w:type="spellEnd"/>
      <w:r w:rsidRPr="00647F04">
        <w:rPr>
          <w:rFonts w:cs="Arial"/>
          <w:szCs w:val="24"/>
          <w:shd w:val="clear" w:color="auto" w:fill="FFFFFF"/>
        </w:rPr>
        <w:t xml:space="preserve">, R. (2014). </w:t>
      </w:r>
      <w:proofErr w:type="gramStart"/>
      <w:r w:rsidRPr="00647F04">
        <w:rPr>
          <w:rFonts w:cs="Arial"/>
          <w:szCs w:val="24"/>
          <w:shd w:val="clear" w:color="auto" w:fill="FFFFFF"/>
        </w:rPr>
        <w:t>Tracing anthropogenic carbon dioxide and methane emissions to fossil fuel and cement producers, 1854–2010.</w:t>
      </w:r>
      <w:proofErr w:type="gramEnd"/>
      <w:r w:rsidRPr="00647F04">
        <w:rPr>
          <w:rFonts w:cs="Arial"/>
          <w:szCs w:val="24"/>
          <w:shd w:val="clear" w:color="auto" w:fill="FFFFFF"/>
        </w:rPr>
        <w:t> </w:t>
      </w:r>
      <w:r w:rsidRPr="00647F04">
        <w:rPr>
          <w:rFonts w:cs="Arial"/>
          <w:i/>
          <w:iCs/>
          <w:szCs w:val="24"/>
          <w:shd w:val="clear" w:color="auto" w:fill="FFFFFF"/>
        </w:rPr>
        <w:t>Climatic Change</w:t>
      </w:r>
      <w:r w:rsidRPr="00647F04">
        <w:rPr>
          <w:rFonts w:cs="Arial"/>
          <w:szCs w:val="24"/>
          <w:shd w:val="clear" w:color="auto" w:fill="FFFFFF"/>
        </w:rPr>
        <w:t>, </w:t>
      </w:r>
      <w:r w:rsidRPr="00647F04">
        <w:rPr>
          <w:rFonts w:cs="Arial"/>
          <w:i/>
          <w:iCs/>
          <w:szCs w:val="24"/>
          <w:shd w:val="clear" w:color="auto" w:fill="FFFFFF"/>
        </w:rPr>
        <w:t>122</w:t>
      </w:r>
      <w:r w:rsidRPr="00647F04">
        <w:rPr>
          <w:rFonts w:cs="Arial"/>
          <w:szCs w:val="24"/>
          <w:shd w:val="clear" w:color="auto" w:fill="FFFFFF"/>
        </w:rPr>
        <w:t>(1-2), 229-241.</w:t>
      </w:r>
    </w:p>
    <w:p w:rsidR="00647F04" w:rsidRPr="00647F04" w:rsidRDefault="00647F04" w:rsidP="002D0F5C">
      <w:pPr>
        <w:rPr>
          <w:rFonts w:cs="Arial"/>
          <w:szCs w:val="24"/>
        </w:rPr>
      </w:pPr>
      <w:r w:rsidRPr="00647F04">
        <w:rPr>
          <w:rFonts w:cs="Arial"/>
          <w:szCs w:val="24"/>
        </w:rPr>
        <w:t>I</w:t>
      </w:r>
      <w:r w:rsidRPr="00647F04">
        <w:rPr>
          <w:rFonts w:cs="Arial"/>
          <w:szCs w:val="24"/>
          <w:u w:color="222222"/>
          <w:shd w:val="clear" w:color="auto" w:fill="FFFFFF"/>
        </w:rPr>
        <w:t>PCC, 2014: Climate Change 2014: Synthesis Report. Contribution of Working Groups I, II and III to the Fifth Assessment Report of the Intergovernmental Panel on Climate Change [Core Writing Team, R.K. Pachauri and L.A. Meyer (</w:t>
      </w:r>
      <w:proofErr w:type="gramStart"/>
      <w:r w:rsidRPr="00647F04">
        <w:rPr>
          <w:rFonts w:cs="Arial"/>
          <w:szCs w:val="24"/>
          <w:u w:color="222222"/>
          <w:shd w:val="clear" w:color="auto" w:fill="FFFFFF"/>
        </w:rPr>
        <w:t>eds</w:t>
      </w:r>
      <w:proofErr w:type="gramEnd"/>
      <w:r w:rsidRPr="00647F04">
        <w:rPr>
          <w:rFonts w:cs="Arial"/>
          <w:szCs w:val="24"/>
          <w:u w:color="222222"/>
          <w:shd w:val="clear" w:color="auto" w:fill="FFFFFF"/>
        </w:rPr>
        <w:t xml:space="preserve">.)]. </w:t>
      </w:r>
      <w:proofErr w:type="gramStart"/>
      <w:r w:rsidRPr="00647F04">
        <w:rPr>
          <w:rFonts w:cs="Arial"/>
          <w:szCs w:val="24"/>
          <w:u w:color="222222"/>
          <w:shd w:val="clear" w:color="auto" w:fill="FFFFFF"/>
        </w:rPr>
        <w:t>IPCC, Geneva, Switzerland, 151p.</w:t>
      </w:r>
      <w:proofErr w:type="gramEnd"/>
    </w:p>
    <w:p w:rsidR="00647F04" w:rsidRPr="00647F04" w:rsidRDefault="00647F04" w:rsidP="002D0F5C">
      <w:pPr>
        <w:rPr>
          <w:rFonts w:cs="Arial"/>
          <w:szCs w:val="24"/>
          <w:shd w:val="clear" w:color="auto" w:fill="FFFFFF"/>
        </w:rPr>
      </w:pPr>
      <w:r w:rsidRPr="00647F04">
        <w:rPr>
          <w:rFonts w:cs="Arial"/>
          <w:szCs w:val="24"/>
          <w:shd w:val="clear" w:color="auto" w:fill="FFFFFF"/>
        </w:rPr>
        <w:t xml:space="preserve">Matthew, P. (1996). </w:t>
      </w:r>
      <w:proofErr w:type="gramStart"/>
      <w:r w:rsidRPr="00647F04">
        <w:rPr>
          <w:rFonts w:cs="Arial"/>
          <w:i/>
          <w:szCs w:val="24"/>
          <w:shd w:val="clear" w:color="auto" w:fill="FFFFFF"/>
        </w:rPr>
        <w:t>Global Warming and Global Politics</w:t>
      </w:r>
      <w:r w:rsidRPr="00647F04">
        <w:rPr>
          <w:rFonts w:cs="Arial"/>
          <w:szCs w:val="24"/>
          <w:shd w:val="clear" w:color="auto" w:fill="FFFFFF"/>
        </w:rPr>
        <w:t>.</w:t>
      </w:r>
      <w:proofErr w:type="gramEnd"/>
      <w:r w:rsidRPr="00647F04">
        <w:rPr>
          <w:rFonts w:cs="Arial"/>
          <w:szCs w:val="24"/>
          <w:shd w:val="clear" w:color="auto" w:fill="FFFFFF"/>
        </w:rPr>
        <w:t> </w:t>
      </w:r>
      <w:r w:rsidRPr="00647F04">
        <w:rPr>
          <w:rFonts w:cs="Arial"/>
          <w:iCs/>
          <w:szCs w:val="24"/>
          <w:shd w:val="clear" w:color="auto" w:fill="FFFFFF"/>
        </w:rPr>
        <w:t xml:space="preserve">London and New York, </w:t>
      </w:r>
      <w:proofErr w:type="spellStart"/>
      <w:r w:rsidRPr="00647F04">
        <w:rPr>
          <w:rFonts w:cs="Arial"/>
          <w:iCs/>
          <w:szCs w:val="24"/>
          <w:shd w:val="clear" w:color="auto" w:fill="FFFFFF"/>
        </w:rPr>
        <w:t>Routlege</w:t>
      </w:r>
      <w:proofErr w:type="spellEnd"/>
      <w:r w:rsidRPr="00647F04">
        <w:rPr>
          <w:rFonts w:cs="Arial"/>
          <w:szCs w:val="24"/>
          <w:shd w:val="clear" w:color="auto" w:fill="FFFFFF"/>
        </w:rPr>
        <w:t>.</w:t>
      </w:r>
    </w:p>
    <w:p w:rsidR="00647F04" w:rsidRPr="00647F04" w:rsidRDefault="00647F04" w:rsidP="002D0F5C">
      <w:pPr>
        <w:rPr>
          <w:rFonts w:cs="Arial"/>
          <w:szCs w:val="24"/>
          <w:shd w:val="clear" w:color="auto" w:fill="FFFFFF"/>
        </w:rPr>
      </w:pPr>
      <w:proofErr w:type="gramStart"/>
      <w:r w:rsidRPr="00647F04">
        <w:rPr>
          <w:rFonts w:cs="Arial"/>
          <w:szCs w:val="24"/>
          <w:shd w:val="clear" w:color="auto" w:fill="FFFFFF"/>
        </w:rPr>
        <w:t>Newell, P., &amp; Paterson, M. (2010).</w:t>
      </w:r>
      <w:proofErr w:type="gramEnd"/>
      <w:r w:rsidRPr="00647F04">
        <w:rPr>
          <w:rFonts w:cs="Arial"/>
          <w:szCs w:val="24"/>
          <w:shd w:val="clear" w:color="auto" w:fill="FFFFFF"/>
        </w:rPr>
        <w:t> </w:t>
      </w:r>
      <w:r w:rsidRPr="00647F04">
        <w:rPr>
          <w:rFonts w:cs="Arial"/>
          <w:i/>
          <w:iCs/>
          <w:szCs w:val="24"/>
          <w:shd w:val="clear" w:color="auto" w:fill="FFFFFF"/>
        </w:rPr>
        <w:t>Climate capitalism: global warming and the transformation of the global economy</w:t>
      </w:r>
      <w:r w:rsidRPr="00647F04">
        <w:rPr>
          <w:rFonts w:cs="Arial"/>
          <w:szCs w:val="24"/>
          <w:shd w:val="clear" w:color="auto" w:fill="FFFFFF"/>
        </w:rPr>
        <w:t xml:space="preserve">. </w:t>
      </w:r>
      <w:proofErr w:type="gramStart"/>
      <w:r w:rsidRPr="00647F04">
        <w:rPr>
          <w:rFonts w:cs="Arial"/>
          <w:szCs w:val="24"/>
          <w:shd w:val="clear" w:color="auto" w:fill="FFFFFF"/>
        </w:rPr>
        <w:t>Cambridge University Press.</w:t>
      </w:r>
      <w:proofErr w:type="gramEnd"/>
    </w:p>
    <w:p w:rsidR="00647F04" w:rsidRPr="00647F04" w:rsidRDefault="00647F04" w:rsidP="002D0F5C">
      <w:pPr>
        <w:rPr>
          <w:rFonts w:cs="Arial"/>
          <w:szCs w:val="24"/>
        </w:rPr>
      </w:pPr>
      <w:proofErr w:type="gramStart"/>
      <w:r w:rsidRPr="00647F04">
        <w:rPr>
          <w:rFonts w:cs="Arial"/>
          <w:szCs w:val="24"/>
        </w:rPr>
        <w:t xml:space="preserve">Newell, P., </w:t>
      </w:r>
      <w:proofErr w:type="spellStart"/>
      <w:r w:rsidRPr="00647F04">
        <w:rPr>
          <w:rFonts w:cs="Arial"/>
          <w:szCs w:val="24"/>
        </w:rPr>
        <w:t>Bulkeley</w:t>
      </w:r>
      <w:proofErr w:type="spellEnd"/>
      <w:r w:rsidRPr="00647F04">
        <w:rPr>
          <w:rFonts w:cs="Arial"/>
          <w:szCs w:val="24"/>
        </w:rPr>
        <w:t>, H., Turner, K., Shaw, C., Caney, S., Shove, E., &amp; Pidgeon, N. (2015).</w:t>
      </w:r>
      <w:proofErr w:type="gramEnd"/>
      <w:r w:rsidRPr="00647F04">
        <w:rPr>
          <w:rFonts w:cs="Arial"/>
          <w:szCs w:val="24"/>
        </w:rPr>
        <w:t xml:space="preserve"> Governance traps in climate change politics: re</w:t>
      </w:r>
      <w:r w:rsidRPr="00647F04">
        <w:rPr>
          <w:rFonts w:ascii="Cambria Math" w:hAnsi="Cambria Math" w:cs="Cambria Math"/>
          <w:szCs w:val="24"/>
        </w:rPr>
        <w:t>‐</w:t>
      </w:r>
      <w:r w:rsidRPr="00647F04">
        <w:rPr>
          <w:rFonts w:cs="Arial"/>
          <w:szCs w:val="24"/>
        </w:rPr>
        <w:t xml:space="preserve">framing the debate in terms of responsibilities and rights. </w:t>
      </w:r>
      <w:r w:rsidRPr="00647F04">
        <w:rPr>
          <w:rFonts w:cs="Arial"/>
          <w:i/>
          <w:szCs w:val="24"/>
        </w:rPr>
        <w:t>Wiley interdisciplinary reviews: climate change</w:t>
      </w:r>
      <w:r w:rsidRPr="00647F04">
        <w:rPr>
          <w:rFonts w:cs="Arial"/>
          <w:szCs w:val="24"/>
        </w:rPr>
        <w:t>, 6(6), 535-540.</w:t>
      </w:r>
    </w:p>
    <w:p w:rsidR="00647F04" w:rsidRPr="00647F04" w:rsidRDefault="00647F04" w:rsidP="002D0F5C">
      <w:pPr>
        <w:rPr>
          <w:rFonts w:cs="Arial"/>
          <w:szCs w:val="24"/>
          <w:shd w:val="clear" w:color="auto" w:fill="FFFFFF"/>
        </w:rPr>
      </w:pPr>
      <w:proofErr w:type="gramStart"/>
      <w:r w:rsidRPr="00647F04">
        <w:rPr>
          <w:rFonts w:cs="Arial"/>
          <w:szCs w:val="24"/>
          <w:shd w:val="clear" w:color="auto" w:fill="FFFFFF"/>
        </w:rPr>
        <w:lastRenderedPageBreak/>
        <w:t>Nicholson, W., &amp; Snyder, C. (2011).</w:t>
      </w:r>
      <w:proofErr w:type="gramEnd"/>
      <w:r w:rsidRPr="00647F04">
        <w:rPr>
          <w:rFonts w:cs="Arial"/>
          <w:szCs w:val="24"/>
          <w:shd w:val="clear" w:color="auto" w:fill="FFFFFF"/>
        </w:rPr>
        <w:t> </w:t>
      </w:r>
      <w:r w:rsidRPr="00647F04">
        <w:rPr>
          <w:rFonts w:cs="Arial"/>
          <w:i/>
          <w:iCs/>
          <w:szCs w:val="24"/>
          <w:shd w:val="clear" w:color="auto" w:fill="FFFFFF"/>
        </w:rPr>
        <w:t>Microeconomic theory: Basic principles and extensions</w:t>
      </w:r>
      <w:r w:rsidRPr="00647F04">
        <w:rPr>
          <w:rFonts w:cs="Arial"/>
          <w:szCs w:val="24"/>
          <w:shd w:val="clear" w:color="auto" w:fill="FFFFFF"/>
        </w:rPr>
        <w:t xml:space="preserve">. </w:t>
      </w:r>
      <w:proofErr w:type="gramStart"/>
      <w:r w:rsidRPr="00647F04">
        <w:rPr>
          <w:rFonts w:cs="Arial"/>
          <w:szCs w:val="24"/>
          <w:shd w:val="clear" w:color="auto" w:fill="FFFFFF"/>
        </w:rPr>
        <w:t>Nelson Education.</w:t>
      </w:r>
      <w:proofErr w:type="gramEnd"/>
    </w:p>
    <w:p w:rsidR="00647F04" w:rsidRPr="00647F04" w:rsidRDefault="00647F04" w:rsidP="002D0F5C">
      <w:pPr>
        <w:rPr>
          <w:rFonts w:cs="Arial"/>
          <w:szCs w:val="24"/>
          <w:shd w:val="clear" w:color="auto" w:fill="FFFFFF"/>
        </w:rPr>
      </w:pPr>
      <w:proofErr w:type="spellStart"/>
      <w:r w:rsidRPr="00647F04">
        <w:rPr>
          <w:rFonts w:cs="Arial"/>
          <w:szCs w:val="24"/>
          <w:shd w:val="clear" w:color="auto" w:fill="FFFFFF"/>
        </w:rPr>
        <w:t>Rogelj</w:t>
      </w:r>
      <w:proofErr w:type="spellEnd"/>
      <w:r w:rsidRPr="00647F04">
        <w:rPr>
          <w:rFonts w:cs="Arial"/>
          <w:szCs w:val="24"/>
          <w:shd w:val="clear" w:color="auto" w:fill="FFFFFF"/>
        </w:rPr>
        <w:t xml:space="preserve">, J., Schaeffer, M., </w:t>
      </w:r>
      <w:proofErr w:type="spellStart"/>
      <w:r w:rsidRPr="00647F04">
        <w:rPr>
          <w:rFonts w:cs="Arial"/>
          <w:szCs w:val="24"/>
          <w:shd w:val="clear" w:color="auto" w:fill="FFFFFF"/>
        </w:rPr>
        <w:t>Friedlingstein</w:t>
      </w:r>
      <w:proofErr w:type="spellEnd"/>
      <w:r w:rsidRPr="00647F04">
        <w:rPr>
          <w:rFonts w:cs="Arial"/>
          <w:szCs w:val="24"/>
          <w:shd w:val="clear" w:color="auto" w:fill="FFFFFF"/>
        </w:rPr>
        <w:t xml:space="preserve">, P., Gillett, N. P., Van </w:t>
      </w:r>
      <w:proofErr w:type="spellStart"/>
      <w:r w:rsidRPr="00647F04">
        <w:rPr>
          <w:rFonts w:cs="Arial"/>
          <w:szCs w:val="24"/>
          <w:shd w:val="clear" w:color="auto" w:fill="FFFFFF"/>
        </w:rPr>
        <w:t>Vuuren</w:t>
      </w:r>
      <w:proofErr w:type="spellEnd"/>
      <w:r w:rsidRPr="00647F04">
        <w:rPr>
          <w:rFonts w:cs="Arial"/>
          <w:szCs w:val="24"/>
          <w:shd w:val="clear" w:color="auto" w:fill="FFFFFF"/>
        </w:rPr>
        <w:t xml:space="preserve">, D. P., </w:t>
      </w:r>
      <w:proofErr w:type="spellStart"/>
      <w:r w:rsidRPr="00647F04">
        <w:rPr>
          <w:rFonts w:cs="Arial"/>
          <w:szCs w:val="24"/>
          <w:shd w:val="clear" w:color="auto" w:fill="FFFFFF"/>
        </w:rPr>
        <w:t>Riahi</w:t>
      </w:r>
      <w:proofErr w:type="spellEnd"/>
      <w:r w:rsidRPr="00647F04">
        <w:rPr>
          <w:rFonts w:cs="Arial"/>
          <w:szCs w:val="24"/>
          <w:shd w:val="clear" w:color="auto" w:fill="FFFFFF"/>
        </w:rPr>
        <w:t xml:space="preserve">, K., &amp; </w:t>
      </w:r>
      <w:proofErr w:type="spellStart"/>
      <w:r w:rsidRPr="00647F04">
        <w:rPr>
          <w:rFonts w:cs="Arial"/>
          <w:szCs w:val="24"/>
          <w:shd w:val="clear" w:color="auto" w:fill="FFFFFF"/>
        </w:rPr>
        <w:t>Knutti</w:t>
      </w:r>
      <w:proofErr w:type="spellEnd"/>
      <w:r w:rsidRPr="00647F04">
        <w:rPr>
          <w:rFonts w:cs="Arial"/>
          <w:szCs w:val="24"/>
          <w:shd w:val="clear" w:color="auto" w:fill="FFFFFF"/>
        </w:rPr>
        <w:t xml:space="preserve">, R. (2016). Differences between carbon budget estimates </w:t>
      </w:r>
      <w:proofErr w:type="spellStart"/>
      <w:r w:rsidRPr="00647F04">
        <w:rPr>
          <w:rFonts w:cs="Arial"/>
          <w:szCs w:val="24"/>
          <w:shd w:val="clear" w:color="auto" w:fill="FFFFFF"/>
        </w:rPr>
        <w:t>unravelled</w:t>
      </w:r>
      <w:proofErr w:type="spellEnd"/>
      <w:r w:rsidRPr="00647F04">
        <w:rPr>
          <w:rFonts w:cs="Arial"/>
          <w:szCs w:val="24"/>
          <w:shd w:val="clear" w:color="auto" w:fill="FFFFFF"/>
        </w:rPr>
        <w:t>. </w:t>
      </w:r>
      <w:r w:rsidRPr="00647F04">
        <w:rPr>
          <w:rFonts w:cs="Arial"/>
          <w:i/>
          <w:iCs/>
          <w:szCs w:val="24"/>
          <w:shd w:val="clear" w:color="auto" w:fill="FFFFFF"/>
        </w:rPr>
        <w:t>Nature Climate Change</w:t>
      </w:r>
      <w:r w:rsidRPr="00647F04">
        <w:rPr>
          <w:rFonts w:cs="Arial"/>
          <w:szCs w:val="24"/>
          <w:shd w:val="clear" w:color="auto" w:fill="FFFFFF"/>
        </w:rPr>
        <w:t>, </w:t>
      </w:r>
      <w:r w:rsidRPr="00647F04">
        <w:rPr>
          <w:rFonts w:cs="Arial"/>
          <w:iCs/>
          <w:szCs w:val="24"/>
          <w:shd w:val="clear" w:color="auto" w:fill="FFFFFF"/>
        </w:rPr>
        <w:t>6</w:t>
      </w:r>
      <w:r w:rsidRPr="00647F04">
        <w:rPr>
          <w:rFonts w:cs="Arial"/>
          <w:szCs w:val="24"/>
          <w:shd w:val="clear" w:color="auto" w:fill="FFFFFF"/>
        </w:rPr>
        <w:t>(3), 245-252.</w:t>
      </w:r>
    </w:p>
    <w:p w:rsidR="00647F04" w:rsidRPr="00647F04" w:rsidRDefault="00647F04" w:rsidP="002D0F5C">
      <w:pPr>
        <w:rPr>
          <w:rFonts w:cs="Arial"/>
          <w:szCs w:val="24"/>
          <w:shd w:val="clear" w:color="auto" w:fill="FFFFFF"/>
        </w:rPr>
      </w:pPr>
      <w:proofErr w:type="spellStart"/>
      <w:r w:rsidRPr="00647F04">
        <w:rPr>
          <w:rFonts w:cs="Arial"/>
          <w:szCs w:val="24"/>
          <w:shd w:val="clear" w:color="auto" w:fill="FFFFFF"/>
          <w:lang w:val="pt-BR"/>
        </w:rPr>
        <w:t>Rubial</w:t>
      </w:r>
      <w:proofErr w:type="spellEnd"/>
      <w:r w:rsidRPr="00647F04">
        <w:rPr>
          <w:rFonts w:cs="Arial"/>
          <w:szCs w:val="24"/>
          <w:shd w:val="clear" w:color="auto" w:fill="FFFFFF"/>
          <w:lang w:val="pt-BR"/>
        </w:rPr>
        <w:t xml:space="preserve">, M. D. P. B. (2016). El </w:t>
      </w:r>
      <w:proofErr w:type="spellStart"/>
      <w:r w:rsidRPr="00647F04">
        <w:rPr>
          <w:rFonts w:cs="Arial"/>
          <w:szCs w:val="24"/>
          <w:shd w:val="clear" w:color="auto" w:fill="FFFFFF"/>
          <w:lang w:val="pt-BR"/>
        </w:rPr>
        <w:t>Acuerdo</w:t>
      </w:r>
      <w:proofErr w:type="spellEnd"/>
      <w:r w:rsidRPr="00647F04">
        <w:rPr>
          <w:rFonts w:cs="Arial"/>
          <w:szCs w:val="24"/>
          <w:shd w:val="clear" w:color="auto" w:fill="FFFFFF"/>
          <w:lang w:val="pt-BR"/>
        </w:rPr>
        <w:t xml:space="preserve"> de </w:t>
      </w:r>
      <w:proofErr w:type="spellStart"/>
      <w:r w:rsidRPr="00647F04">
        <w:rPr>
          <w:rFonts w:cs="Arial"/>
          <w:szCs w:val="24"/>
          <w:shd w:val="clear" w:color="auto" w:fill="FFFFFF"/>
          <w:lang w:val="pt-BR"/>
        </w:rPr>
        <w:t>París</w:t>
      </w:r>
      <w:proofErr w:type="spellEnd"/>
      <w:r w:rsidRPr="00647F04">
        <w:rPr>
          <w:rFonts w:cs="Arial"/>
          <w:szCs w:val="24"/>
          <w:shd w:val="clear" w:color="auto" w:fill="FFFFFF"/>
          <w:lang w:val="pt-BR"/>
        </w:rPr>
        <w:t xml:space="preserve">:¿ una </w:t>
      </w:r>
      <w:proofErr w:type="spellStart"/>
      <w:r w:rsidRPr="00647F04">
        <w:rPr>
          <w:rFonts w:cs="Arial"/>
          <w:szCs w:val="24"/>
          <w:shd w:val="clear" w:color="auto" w:fill="FFFFFF"/>
          <w:lang w:val="pt-BR"/>
        </w:rPr>
        <w:t>nueva</w:t>
      </w:r>
      <w:proofErr w:type="spellEnd"/>
      <w:r w:rsidRPr="00647F04">
        <w:rPr>
          <w:rFonts w:cs="Arial"/>
          <w:szCs w:val="24"/>
          <w:shd w:val="clear" w:color="auto" w:fill="FFFFFF"/>
          <w:lang w:val="pt-BR"/>
        </w:rPr>
        <w:t xml:space="preserve"> </w:t>
      </w:r>
      <w:proofErr w:type="spellStart"/>
      <w:proofErr w:type="gramStart"/>
      <w:r w:rsidRPr="00647F04">
        <w:rPr>
          <w:rFonts w:cs="Arial"/>
          <w:szCs w:val="24"/>
          <w:shd w:val="clear" w:color="auto" w:fill="FFFFFF"/>
          <w:lang w:val="pt-BR"/>
        </w:rPr>
        <w:t>idea</w:t>
      </w:r>
      <w:proofErr w:type="spellEnd"/>
      <w:proofErr w:type="gramEnd"/>
      <w:r w:rsidRPr="00647F04">
        <w:rPr>
          <w:rFonts w:cs="Arial"/>
          <w:szCs w:val="24"/>
          <w:shd w:val="clear" w:color="auto" w:fill="FFFFFF"/>
          <w:lang w:val="pt-BR"/>
        </w:rPr>
        <w:t xml:space="preserve"> sobre </w:t>
      </w:r>
      <w:proofErr w:type="spellStart"/>
      <w:r w:rsidRPr="00647F04">
        <w:rPr>
          <w:rFonts w:cs="Arial"/>
          <w:szCs w:val="24"/>
          <w:shd w:val="clear" w:color="auto" w:fill="FFFFFF"/>
          <w:lang w:val="pt-BR"/>
        </w:rPr>
        <w:t>la</w:t>
      </w:r>
      <w:proofErr w:type="spellEnd"/>
      <w:r w:rsidRPr="00647F04">
        <w:rPr>
          <w:rFonts w:cs="Arial"/>
          <w:szCs w:val="24"/>
          <w:shd w:val="clear" w:color="auto" w:fill="FFFFFF"/>
          <w:lang w:val="pt-BR"/>
        </w:rPr>
        <w:t xml:space="preserve"> </w:t>
      </w:r>
      <w:proofErr w:type="spellStart"/>
      <w:r w:rsidRPr="00647F04">
        <w:rPr>
          <w:rFonts w:cs="Arial"/>
          <w:szCs w:val="24"/>
          <w:shd w:val="clear" w:color="auto" w:fill="FFFFFF"/>
          <w:lang w:val="pt-BR"/>
        </w:rPr>
        <w:t>arquitectura</w:t>
      </w:r>
      <w:proofErr w:type="spellEnd"/>
      <w:r w:rsidRPr="00647F04">
        <w:rPr>
          <w:rFonts w:cs="Arial"/>
          <w:szCs w:val="24"/>
          <w:shd w:val="clear" w:color="auto" w:fill="FFFFFF"/>
          <w:lang w:val="pt-BR"/>
        </w:rPr>
        <w:t xml:space="preserve"> climática internacional?| </w:t>
      </w:r>
      <w:r w:rsidRPr="00647F04">
        <w:rPr>
          <w:rFonts w:cs="Arial"/>
          <w:szCs w:val="24"/>
          <w:shd w:val="clear" w:color="auto" w:fill="FFFFFF"/>
        </w:rPr>
        <w:t xml:space="preserve">The Paris Agreement: a new </w:t>
      </w:r>
      <w:proofErr w:type="gramStart"/>
      <w:r w:rsidRPr="00647F04">
        <w:rPr>
          <w:rFonts w:cs="Arial"/>
          <w:szCs w:val="24"/>
          <w:shd w:val="clear" w:color="auto" w:fill="FFFFFF"/>
        </w:rPr>
        <w:t>idea</w:t>
      </w:r>
      <w:proofErr w:type="gramEnd"/>
      <w:r w:rsidRPr="00647F04">
        <w:rPr>
          <w:rFonts w:cs="Arial"/>
          <w:szCs w:val="24"/>
          <w:shd w:val="clear" w:color="auto" w:fill="FFFFFF"/>
        </w:rPr>
        <w:t xml:space="preserve"> about the international climate architecture?. </w:t>
      </w:r>
      <w:proofErr w:type="spellStart"/>
      <w:r w:rsidRPr="00647F04">
        <w:rPr>
          <w:rFonts w:cs="Arial"/>
          <w:i/>
          <w:iCs/>
          <w:szCs w:val="24"/>
          <w:shd w:val="clear" w:color="auto" w:fill="FFFFFF"/>
        </w:rPr>
        <w:t>Relaciones</w:t>
      </w:r>
      <w:proofErr w:type="spellEnd"/>
      <w:r w:rsidRPr="00647F04">
        <w:rPr>
          <w:rFonts w:cs="Arial"/>
          <w:i/>
          <w:iCs/>
          <w:szCs w:val="24"/>
          <w:shd w:val="clear" w:color="auto" w:fill="FFFFFF"/>
        </w:rPr>
        <w:t xml:space="preserve"> </w:t>
      </w:r>
      <w:proofErr w:type="spellStart"/>
      <w:r w:rsidRPr="00647F04">
        <w:rPr>
          <w:rFonts w:cs="Arial"/>
          <w:i/>
          <w:iCs/>
          <w:szCs w:val="24"/>
          <w:shd w:val="clear" w:color="auto" w:fill="FFFFFF"/>
        </w:rPr>
        <w:t>Internacionales</w:t>
      </w:r>
      <w:proofErr w:type="spellEnd"/>
      <w:r w:rsidRPr="00647F04">
        <w:rPr>
          <w:rFonts w:cs="Arial"/>
          <w:szCs w:val="24"/>
          <w:shd w:val="clear" w:color="auto" w:fill="FFFFFF"/>
        </w:rPr>
        <w:t>, (33), 75-95.</w:t>
      </w:r>
    </w:p>
    <w:p w:rsidR="00647F04" w:rsidRPr="00647F04" w:rsidRDefault="00647F04" w:rsidP="002D0F5C">
      <w:pPr>
        <w:rPr>
          <w:rFonts w:cs="Arial"/>
          <w:szCs w:val="24"/>
          <w:shd w:val="clear" w:color="auto" w:fill="FFFFFF"/>
        </w:rPr>
      </w:pPr>
      <w:r w:rsidRPr="00647F04">
        <w:rPr>
          <w:rFonts w:cs="Arial"/>
          <w:szCs w:val="24"/>
          <w:shd w:val="clear" w:color="auto" w:fill="FFFFFF"/>
          <w:lang w:val="pt-BR"/>
        </w:rPr>
        <w:t>Viola, E. (2002). O regime internacional de mudança climática e o Brasil. </w:t>
      </w:r>
      <w:proofErr w:type="spellStart"/>
      <w:r w:rsidRPr="00647F04">
        <w:rPr>
          <w:rFonts w:cs="Arial"/>
          <w:i/>
          <w:iCs/>
          <w:szCs w:val="24"/>
          <w:shd w:val="clear" w:color="auto" w:fill="FFFFFF"/>
        </w:rPr>
        <w:t>Revista</w:t>
      </w:r>
      <w:proofErr w:type="spellEnd"/>
      <w:r w:rsidRPr="00647F04">
        <w:rPr>
          <w:rFonts w:cs="Arial"/>
          <w:i/>
          <w:iCs/>
          <w:szCs w:val="24"/>
          <w:shd w:val="clear" w:color="auto" w:fill="FFFFFF"/>
        </w:rPr>
        <w:t xml:space="preserve"> </w:t>
      </w:r>
      <w:proofErr w:type="spellStart"/>
      <w:r w:rsidRPr="00647F04">
        <w:rPr>
          <w:rFonts w:cs="Arial"/>
          <w:i/>
          <w:iCs/>
          <w:szCs w:val="24"/>
          <w:shd w:val="clear" w:color="auto" w:fill="FFFFFF"/>
        </w:rPr>
        <w:t>Brasileira</w:t>
      </w:r>
      <w:proofErr w:type="spellEnd"/>
      <w:r w:rsidRPr="00647F04">
        <w:rPr>
          <w:rFonts w:cs="Arial"/>
          <w:i/>
          <w:iCs/>
          <w:szCs w:val="24"/>
          <w:shd w:val="clear" w:color="auto" w:fill="FFFFFF"/>
        </w:rPr>
        <w:t xml:space="preserve"> de </w:t>
      </w:r>
      <w:proofErr w:type="spellStart"/>
      <w:r w:rsidRPr="00647F04">
        <w:rPr>
          <w:rFonts w:cs="Arial"/>
          <w:i/>
          <w:iCs/>
          <w:szCs w:val="24"/>
          <w:shd w:val="clear" w:color="auto" w:fill="FFFFFF"/>
        </w:rPr>
        <w:t>Ciências</w:t>
      </w:r>
      <w:proofErr w:type="spellEnd"/>
      <w:r w:rsidRPr="00647F04">
        <w:rPr>
          <w:rFonts w:cs="Arial"/>
          <w:i/>
          <w:iCs/>
          <w:szCs w:val="24"/>
          <w:shd w:val="clear" w:color="auto" w:fill="FFFFFF"/>
        </w:rPr>
        <w:t xml:space="preserve"> </w:t>
      </w:r>
      <w:proofErr w:type="spellStart"/>
      <w:r w:rsidRPr="00647F04">
        <w:rPr>
          <w:rFonts w:cs="Arial"/>
          <w:i/>
          <w:iCs/>
          <w:szCs w:val="24"/>
          <w:shd w:val="clear" w:color="auto" w:fill="FFFFFF"/>
        </w:rPr>
        <w:t>Sociais</w:t>
      </w:r>
      <w:proofErr w:type="spellEnd"/>
      <w:r w:rsidRPr="00647F04">
        <w:rPr>
          <w:rFonts w:cs="Arial"/>
          <w:szCs w:val="24"/>
          <w:shd w:val="clear" w:color="auto" w:fill="FFFFFF"/>
        </w:rPr>
        <w:t>, </w:t>
      </w:r>
      <w:r w:rsidRPr="00647F04">
        <w:rPr>
          <w:rFonts w:cs="Arial"/>
          <w:i/>
          <w:iCs/>
          <w:szCs w:val="24"/>
          <w:shd w:val="clear" w:color="auto" w:fill="FFFFFF"/>
        </w:rPr>
        <w:t>17</w:t>
      </w:r>
      <w:r w:rsidRPr="00647F04">
        <w:rPr>
          <w:rFonts w:cs="Arial"/>
          <w:szCs w:val="24"/>
          <w:shd w:val="clear" w:color="auto" w:fill="FFFFFF"/>
        </w:rPr>
        <w:t>(50), 25-46.</w:t>
      </w:r>
    </w:p>
    <w:sectPr w:rsidR="00647F04" w:rsidRPr="00647F04" w:rsidSect="00EE4A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5B" w:rsidRDefault="00D5705B" w:rsidP="004E3F60">
      <w:pPr>
        <w:spacing w:before="0" w:after="0" w:line="240" w:lineRule="auto"/>
      </w:pPr>
      <w:r>
        <w:separator/>
      </w:r>
    </w:p>
  </w:endnote>
  <w:endnote w:type="continuationSeparator" w:id="0">
    <w:p w:rsidR="00D5705B" w:rsidRDefault="00D5705B" w:rsidP="004E3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5B" w:rsidRDefault="00D5705B" w:rsidP="004E3F60">
      <w:pPr>
        <w:spacing w:before="0" w:after="0" w:line="240" w:lineRule="auto"/>
      </w:pPr>
      <w:r>
        <w:separator/>
      </w:r>
    </w:p>
  </w:footnote>
  <w:footnote w:type="continuationSeparator" w:id="0">
    <w:p w:rsidR="00D5705B" w:rsidRDefault="00D5705B" w:rsidP="004E3F60">
      <w:pPr>
        <w:spacing w:before="0" w:after="0" w:line="240" w:lineRule="auto"/>
      </w:pPr>
      <w:r>
        <w:continuationSeparator/>
      </w:r>
    </w:p>
  </w:footnote>
  <w:footnote w:id="1">
    <w:p w:rsidR="001F3914" w:rsidRPr="00D26E26" w:rsidRDefault="001F3914">
      <w:pPr>
        <w:pStyle w:val="Textodenotaderodap"/>
      </w:pPr>
      <w:r w:rsidRPr="00D26E26">
        <w:rPr>
          <w:rStyle w:val="Refdenotaderodap"/>
        </w:rPr>
        <w:footnoteRef/>
      </w:r>
      <w:r w:rsidRPr="00D26E26">
        <w:t xml:space="preserve"> CAIT database provides cumulative emissions data on MtCO2 (megaton</w:t>
      </w:r>
      <w:r w:rsidR="00DE6CD1">
        <w:t>s</w:t>
      </w:r>
      <w:r w:rsidRPr="00D26E26">
        <w:t xml:space="preserve"> of carbon dioxide) to 191 countries between 1850 and 2014. We use data up to 2010 to match the </w:t>
      </w:r>
      <w:r w:rsidR="00DE6CD1">
        <w:t>cumulative</w:t>
      </w:r>
      <w:r w:rsidRPr="00D26E26">
        <w:t xml:space="preserve"> emissions of Oil Carbon Majors corporations (major global polluters in oil and gas sector), made available by </w:t>
      </w:r>
      <w:proofErr w:type="spellStart"/>
      <w:r w:rsidRPr="00D26E26">
        <w:t>Heede</w:t>
      </w:r>
      <w:proofErr w:type="spellEnd"/>
      <w:r w:rsidRPr="00D26E26">
        <w:t xml:space="preserve"> (2014).</w:t>
      </w:r>
    </w:p>
  </w:footnote>
  <w:footnote w:id="2">
    <w:p w:rsidR="00FC6F6F" w:rsidRPr="004E3F60" w:rsidRDefault="00FC6F6F" w:rsidP="00FC6F6F">
      <w:pPr>
        <w:pStyle w:val="Textodenotaderodap"/>
      </w:pPr>
      <w:r w:rsidRPr="00D26E26">
        <w:rPr>
          <w:rStyle w:val="Refdenotaderodap"/>
        </w:rPr>
        <w:footnoteRef/>
      </w:r>
      <w:r w:rsidRPr="00D26E26">
        <w:t xml:space="preserve"> </w:t>
      </w:r>
      <w:proofErr w:type="gramStart"/>
      <w:r w:rsidRPr="00D26E26">
        <w:t>Alliance of Small Island States.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43"/>
    <w:rsid w:val="00092DC5"/>
    <w:rsid w:val="000D3B6C"/>
    <w:rsid w:val="00115EE0"/>
    <w:rsid w:val="00151833"/>
    <w:rsid w:val="001730CD"/>
    <w:rsid w:val="00197BF8"/>
    <w:rsid w:val="001F3914"/>
    <w:rsid w:val="00243FD7"/>
    <w:rsid w:val="002456B5"/>
    <w:rsid w:val="0024740D"/>
    <w:rsid w:val="00266CDE"/>
    <w:rsid w:val="0027107A"/>
    <w:rsid w:val="00292FC2"/>
    <w:rsid w:val="00293BDD"/>
    <w:rsid w:val="002D0F5C"/>
    <w:rsid w:val="003E051B"/>
    <w:rsid w:val="004969DE"/>
    <w:rsid w:val="004E1606"/>
    <w:rsid w:val="004E3F60"/>
    <w:rsid w:val="00517BE6"/>
    <w:rsid w:val="00561BBE"/>
    <w:rsid w:val="005A2B72"/>
    <w:rsid w:val="005B2F3A"/>
    <w:rsid w:val="0060181E"/>
    <w:rsid w:val="0064349D"/>
    <w:rsid w:val="00647F04"/>
    <w:rsid w:val="007E288F"/>
    <w:rsid w:val="008044FC"/>
    <w:rsid w:val="00837C90"/>
    <w:rsid w:val="00943E06"/>
    <w:rsid w:val="00952C89"/>
    <w:rsid w:val="00A21DD8"/>
    <w:rsid w:val="00AA0F73"/>
    <w:rsid w:val="00AA3928"/>
    <w:rsid w:val="00AC6B04"/>
    <w:rsid w:val="00AE2CF3"/>
    <w:rsid w:val="00AE2E44"/>
    <w:rsid w:val="00B54E38"/>
    <w:rsid w:val="00B73262"/>
    <w:rsid w:val="00B95583"/>
    <w:rsid w:val="00BB52BC"/>
    <w:rsid w:val="00BC5C89"/>
    <w:rsid w:val="00BC6735"/>
    <w:rsid w:val="00BD57CC"/>
    <w:rsid w:val="00C058C8"/>
    <w:rsid w:val="00C87171"/>
    <w:rsid w:val="00CB3BF5"/>
    <w:rsid w:val="00D26E26"/>
    <w:rsid w:val="00D43D12"/>
    <w:rsid w:val="00D50843"/>
    <w:rsid w:val="00D541E6"/>
    <w:rsid w:val="00D5705B"/>
    <w:rsid w:val="00D616AE"/>
    <w:rsid w:val="00DB21FC"/>
    <w:rsid w:val="00DE6CD1"/>
    <w:rsid w:val="00EB17C1"/>
    <w:rsid w:val="00EE4A4E"/>
    <w:rsid w:val="00F332A0"/>
    <w:rsid w:val="00F94BE4"/>
    <w:rsid w:val="00FC6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5C"/>
    <w:pPr>
      <w:spacing w:before="120" w:after="120" w:line="360" w:lineRule="auto"/>
      <w:jc w:val="both"/>
    </w:pPr>
    <w:rPr>
      <w:rFonts w:ascii="Arial" w:hAnsi="Arial"/>
      <w:sz w:val="24"/>
      <w:lang w:val="en-US"/>
    </w:rPr>
  </w:style>
  <w:style w:type="paragraph" w:styleId="Ttulo1">
    <w:name w:val="heading 1"/>
    <w:basedOn w:val="Normal"/>
    <w:next w:val="Normal"/>
    <w:link w:val="Ttulo1Char"/>
    <w:uiPriority w:val="9"/>
    <w:qFormat/>
    <w:rsid w:val="00115EE0"/>
    <w:pPr>
      <w:keepNext/>
      <w:keepLines/>
      <w:spacing w:before="480" w:after="0"/>
      <w:outlineLvl w:val="0"/>
    </w:pPr>
    <w:rPr>
      <w:rFonts w:eastAsiaTheme="majorEastAsia" w:cstheme="majorBidi"/>
      <w:b/>
      <w:bCs/>
      <w:szCs w:val="28"/>
    </w:rPr>
  </w:style>
  <w:style w:type="paragraph" w:styleId="Ttulo3">
    <w:name w:val="heading 3"/>
    <w:basedOn w:val="Normal"/>
    <w:next w:val="Normal"/>
    <w:link w:val="Ttulo3Char"/>
    <w:uiPriority w:val="9"/>
    <w:semiHidden/>
    <w:unhideWhenUsed/>
    <w:qFormat/>
    <w:rsid w:val="004E3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41E6"/>
    <w:rPr>
      <w:rFonts w:ascii="Tahoma" w:hAnsi="Tahoma" w:cs="Tahoma"/>
      <w:sz w:val="16"/>
      <w:szCs w:val="16"/>
      <w:lang w:val="en-US"/>
    </w:rPr>
  </w:style>
  <w:style w:type="character" w:customStyle="1" w:styleId="Ttulo1Char">
    <w:name w:val="Título 1 Char"/>
    <w:basedOn w:val="Fontepargpadro"/>
    <w:link w:val="Ttulo1"/>
    <w:uiPriority w:val="9"/>
    <w:rsid w:val="00115EE0"/>
    <w:rPr>
      <w:rFonts w:ascii="Times New Roman" w:eastAsiaTheme="majorEastAsia" w:hAnsi="Times New Roman" w:cstheme="majorBidi"/>
      <w:b/>
      <w:bCs/>
      <w:sz w:val="24"/>
      <w:szCs w:val="28"/>
      <w:lang w:val="en-US"/>
    </w:rPr>
  </w:style>
  <w:style w:type="paragraph" w:styleId="Textodenotaderodap">
    <w:name w:val="footnote text"/>
    <w:basedOn w:val="Normal"/>
    <w:link w:val="TextodenotaderodapChar"/>
    <w:uiPriority w:val="99"/>
    <w:semiHidden/>
    <w:unhideWhenUsed/>
    <w:rsid w:val="004E3F60"/>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3F60"/>
    <w:rPr>
      <w:rFonts w:ascii="Arial" w:hAnsi="Arial"/>
      <w:sz w:val="20"/>
      <w:szCs w:val="20"/>
      <w:lang w:val="en-US"/>
    </w:rPr>
  </w:style>
  <w:style w:type="character" w:styleId="Refdenotaderodap">
    <w:name w:val="footnote reference"/>
    <w:basedOn w:val="Fontepargpadro"/>
    <w:uiPriority w:val="99"/>
    <w:semiHidden/>
    <w:unhideWhenUsed/>
    <w:rsid w:val="004E3F60"/>
    <w:rPr>
      <w:vertAlign w:val="superscript"/>
    </w:rPr>
  </w:style>
  <w:style w:type="character" w:customStyle="1" w:styleId="Ttulo3Char">
    <w:name w:val="Título 3 Char"/>
    <w:basedOn w:val="Fontepargpadro"/>
    <w:link w:val="Ttulo3"/>
    <w:uiPriority w:val="9"/>
    <w:semiHidden/>
    <w:rsid w:val="004E3F60"/>
    <w:rPr>
      <w:rFonts w:asciiTheme="majorHAnsi" w:eastAsiaTheme="majorEastAsia" w:hAnsiTheme="majorHAnsi" w:cstheme="majorBidi"/>
      <w:b/>
      <w:bCs/>
      <w:color w:val="4F81BD" w:themeColor="accent1"/>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5C"/>
    <w:pPr>
      <w:spacing w:before="120" w:after="120" w:line="360" w:lineRule="auto"/>
      <w:jc w:val="both"/>
    </w:pPr>
    <w:rPr>
      <w:rFonts w:ascii="Arial" w:hAnsi="Arial"/>
      <w:sz w:val="24"/>
      <w:lang w:val="en-US"/>
    </w:rPr>
  </w:style>
  <w:style w:type="paragraph" w:styleId="Ttulo1">
    <w:name w:val="heading 1"/>
    <w:basedOn w:val="Normal"/>
    <w:next w:val="Normal"/>
    <w:link w:val="Ttulo1Char"/>
    <w:uiPriority w:val="9"/>
    <w:qFormat/>
    <w:rsid w:val="00115EE0"/>
    <w:pPr>
      <w:keepNext/>
      <w:keepLines/>
      <w:spacing w:before="480" w:after="0"/>
      <w:outlineLvl w:val="0"/>
    </w:pPr>
    <w:rPr>
      <w:rFonts w:eastAsiaTheme="majorEastAsia" w:cstheme="majorBidi"/>
      <w:b/>
      <w:bCs/>
      <w:szCs w:val="28"/>
    </w:rPr>
  </w:style>
  <w:style w:type="paragraph" w:styleId="Ttulo3">
    <w:name w:val="heading 3"/>
    <w:basedOn w:val="Normal"/>
    <w:next w:val="Normal"/>
    <w:link w:val="Ttulo3Char"/>
    <w:uiPriority w:val="9"/>
    <w:semiHidden/>
    <w:unhideWhenUsed/>
    <w:qFormat/>
    <w:rsid w:val="004E3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41E6"/>
    <w:rPr>
      <w:rFonts w:ascii="Tahoma" w:hAnsi="Tahoma" w:cs="Tahoma"/>
      <w:sz w:val="16"/>
      <w:szCs w:val="16"/>
      <w:lang w:val="en-US"/>
    </w:rPr>
  </w:style>
  <w:style w:type="character" w:customStyle="1" w:styleId="Ttulo1Char">
    <w:name w:val="Título 1 Char"/>
    <w:basedOn w:val="Fontepargpadro"/>
    <w:link w:val="Ttulo1"/>
    <w:uiPriority w:val="9"/>
    <w:rsid w:val="00115EE0"/>
    <w:rPr>
      <w:rFonts w:ascii="Times New Roman" w:eastAsiaTheme="majorEastAsia" w:hAnsi="Times New Roman" w:cstheme="majorBidi"/>
      <w:b/>
      <w:bCs/>
      <w:sz w:val="24"/>
      <w:szCs w:val="28"/>
      <w:lang w:val="en-US"/>
    </w:rPr>
  </w:style>
  <w:style w:type="paragraph" w:styleId="Textodenotaderodap">
    <w:name w:val="footnote text"/>
    <w:basedOn w:val="Normal"/>
    <w:link w:val="TextodenotaderodapChar"/>
    <w:uiPriority w:val="99"/>
    <w:semiHidden/>
    <w:unhideWhenUsed/>
    <w:rsid w:val="004E3F60"/>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3F60"/>
    <w:rPr>
      <w:rFonts w:ascii="Arial" w:hAnsi="Arial"/>
      <w:sz w:val="20"/>
      <w:szCs w:val="20"/>
      <w:lang w:val="en-US"/>
    </w:rPr>
  </w:style>
  <w:style w:type="character" w:styleId="Refdenotaderodap">
    <w:name w:val="footnote reference"/>
    <w:basedOn w:val="Fontepargpadro"/>
    <w:uiPriority w:val="99"/>
    <w:semiHidden/>
    <w:unhideWhenUsed/>
    <w:rsid w:val="004E3F60"/>
    <w:rPr>
      <w:vertAlign w:val="superscript"/>
    </w:rPr>
  </w:style>
  <w:style w:type="character" w:customStyle="1" w:styleId="Ttulo3Char">
    <w:name w:val="Título 3 Char"/>
    <w:basedOn w:val="Fontepargpadro"/>
    <w:link w:val="Ttulo3"/>
    <w:uiPriority w:val="9"/>
    <w:semiHidden/>
    <w:rsid w:val="004E3F60"/>
    <w:rPr>
      <w:rFonts w:asciiTheme="majorHAnsi" w:eastAsiaTheme="majorEastAsia" w:hAnsiTheme="majorHAnsi" w:cstheme="majorBidi"/>
      <w:b/>
      <w:bCs/>
      <w:color w:val="4F81BD" w:themeColor="accen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594">
      <w:bodyDiv w:val="1"/>
      <w:marLeft w:val="0"/>
      <w:marRight w:val="0"/>
      <w:marTop w:val="0"/>
      <w:marBottom w:val="0"/>
      <w:divBdr>
        <w:top w:val="none" w:sz="0" w:space="0" w:color="auto"/>
        <w:left w:val="none" w:sz="0" w:space="0" w:color="auto"/>
        <w:bottom w:val="none" w:sz="0" w:space="0" w:color="auto"/>
        <w:right w:val="none" w:sz="0" w:space="0" w:color="auto"/>
      </w:divBdr>
    </w:div>
    <w:div w:id="324893188">
      <w:bodyDiv w:val="1"/>
      <w:marLeft w:val="0"/>
      <w:marRight w:val="0"/>
      <w:marTop w:val="0"/>
      <w:marBottom w:val="0"/>
      <w:divBdr>
        <w:top w:val="none" w:sz="0" w:space="0" w:color="auto"/>
        <w:left w:val="none" w:sz="0" w:space="0" w:color="auto"/>
        <w:bottom w:val="none" w:sz="0" w:space="0" w:color="auto"/>
        <w:right w:val="none" w:sz="0" w:space="0" w:color="auto"/>
      </w:divBdr>
    </w:div>
    <w:div w:id="607545230">
      <w:bodyDiv w:val="1"/>
      <w:marLeft w:val="0"/>
      <w:marRight w:val="0"/>
      <w:marTop w:val="0"/>
      <w:marBottom w:val="0"/>
      <w:divBdr>
        <w:top w:val="none" w:sz="0" w:space="0" w:color="auto"/>
        <w:left w:val="none" w:sz="0" w:space="0" w:color="auto"/>
        <w:bottom w:val="none" w:sz="0" w:space="0" w:color="auto"/>
        <w:right w:val="none" w:sz="0" w:space="0" w:color="auto"/>
      </w:divBdr>
    </w:div>
    <w:div w:id="810901183">
      <w:bodyDiv w:val="1"/>
      <w:marLeft w:val="0"/>
      <w:marRight w:val="0"/>
      <w:marTop w:val="0"/>
      <w:marBottom w:val="0"/>
      <w:divBdr>
        <w:top w:val="none" w:sz="0" w:space="0" w:color="auto"/>
        <w:left w:val="none" w:sz="0" w:space="0" w:color="auto"/>
        <w:bottom w:val="none" w:sz="0" w:space="0" w:color="auto"/>
        <w:right w:val="none" w:sz="0" w:space="0" w:color="auto"/>
      </w:divBdr>
    </w:div>
    <w:div w:id="1901598533">
      <w:bodyDiv w:val="1"/>
      <w:marLeft w:val="0"/>
      <w:marRight w:val="0"/>
      <w:marTop w:val="0"/>
      <w:marBottom w:val="0"/>
      <w:divBdr>
        <w:top w:val="none" w:sz="0" w:space="0" w:color="auto"/>
        <w:left w:val="none" w:sz="0" w:space="0" w:color="auto"/>
        <w:bottom w:val="none" w:sz="0" w:space="0" w:color="auto"/>
        <w:right w:val="none" w:sz="0" w:space="0" w:color="auto"/>
      </w:divBdr>
    </w:div>
    <w:div w:id="19034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BF89-5D81-419D-931C-95051C6E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981</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Gomes</dc:creator>
  <cp:lastModifiedBy>Guilherme Gomes</cp:lastModifiedBy>
  <cp:revision>4</cp:revision>
  <dcterms:created xsi:type="dcterms:W3CDTF">2019-01-15T01:13:00Z</dcterms:created>
  <dcterms:modified xsi:type="dcterms:W3CDTF">2019-01-15T01:20:00Z</dcterms:modified>
</cp:coreProperties>
</file>