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ED901" w14:textId="6FAD91D8" w:rsidR="00C37464" w:rsidRPr="0096225F" w:rsidRDefault="0096225F" w:rsidP="0096225F">
      <w:pPr>
        <w:jc w:val="center"/>
        <w:rPr>
          <w:b/>
        </w:rPr>
      </w:pPr>
      <w:r w:rsidRPr="00311E48">
        <w:rPr>
          <w:b/>
        </w:rPr>
        <w:t>Potentials and Boundaries for Cultural Access Inclusiveness in the Digital Age</w:t>
      </w:r>
    </w:p>
    <w:p w14:paraId="4C2AFA70" w14:textId="77777777" w:rsidR="0096225F" w:rsidRDefault="0096225F" w:rsidP="00C37464">
      <w:pPr>
        <w:widowControl w:val="0"/>
        <w:autoSpaceDE w:val="0"/>
        <w:autoSpaceDN w:val="0"/>
        <w:adjustRightInd w:val="0"/>
        <w:spacing w:line="276" w:lineRule="auto"/>
        <w:jc w:val="both"/>
      </w:pPr>
    </w:p>
    <w:p w14:paraId="01E2215F" w14:textId="5BD450B6" w:rsidR="00C37464" w:rsidRPr="002353C0" w:rsidRDefault="00C37464" w:rsidP="002353C0">
      <w:pPr>
        <w:spacing w:line="276" w:lineRule="auto"/>
        <w:jc w:val="both"/>
      </w:pPr>
      <w:r w:rsidRPr="00C37464">
        <w:tab/>
        <w:t>The cultural access inequalities between and within countries has been largely studied</w:t>
      </w:r>
      <w:r w:rsidR="002353C0">
        <w:t xml:space="preserve"> by the literature and these disparities are </w:t>
      </w:r>
      <w:r w:rsidRPr="00C37464">
        <w:t>significant for both developing and developed countries. Empirical</w:t>
      </w:r>
      <w:r w:rsidRPr="00C37464">
        <w:t xml:space="preserve"> </w:t>
      </w:r>
      <w:r w:rsidRPr="00C37464">
        <w:t xml:space="preserve">investigations have consistently </w:t>
      </w:r>
      <w:r w:rsidRPr="00C37464">
        <w:t>support</w:t>
      </w:r>
      <w:r w:rsidRPr="00C37464">
        <w:t>ed an</w:t>
      </w:r>
      <w:r w:rsidRPr="00C37464">
        <w:t xml:space="preserve"> </w:t>
      </w:r>
      <w:r w:rsidRPr="00C37464">
        <w:t>“</w:t>
      </w:r>
      <w:r w:rsidRPr="00C37464">
        <w:t>elitism hypothesis</w:t>
      </w:r>
      <w:r w:rsidRPr="00C37464">
        <w:t>”, since</w:t>
      </w:r>
      <w:r w:rsidRPr="00C37464">
        <w:t xml:space="preserve"> education an</w:t>
      </w:r>
      <w:r w:rsidRPr="00C37464">
        <w:t xml:space="preserve">d income have </w:t>
      </w:r>
      <w:r w:rsidR="002353C0">
        <w:t xml:space="preserve">presented </w:t>
      </w:r>
      <w:r w:rsidRPr="00C37464">
        <w:t>a positive relation with</w:t>
      </w:r>
      <w:r w:rsidRPr="00C37464">
        <w:t xml:space="preserve"> cultural activities</w:t>
      </w:r>
      <w:r w:rsidR="00685124">
        <w:t xml:space="preserve"> (</w:t>
      </w:r>
      <w:r w:rsidR="00685124" w:rsidRPr="00685124">
        <w:rPr>
          <w:color w:val="0000FF"/>
        </w:rPr>
        <w:t>Courty &amp; Zhang, 2018</w:t>
      </w:r>
      <w:r w:rsidR="00685124">
        <w:t>)</w:t>
      </w:r>
      <w:r w:rsidRPr="00C37464">
        <w:t>. However,</w:t>
      </w:r>
      <w:r w:rsidRPr="00C37464">
        <w:t xml:space="preserve"> </w:t>
      </w:r>
      <w:r w:rsidR="002353C0">
        <w:t>there is not enough</w:t>
      </w:r>
      <w:r w:rsidRPr="00C37464">
        <w:t xml:space="preserve"> </w:t>
      </w:r>
      <w:r w:rsidR="002353C0">
        <w:t xml:space="preserve">evidence on whether online cultural consumption may shift this scenario or, instead, </w:t>
      </w:r>
      <w:r w:rsidR="00685124">
        <w:t>mimic</w:t>
      </w:r>
      <w:r w:rsidR="002353C0">
        <w:t xml:space="preserve"> and </w:t>
      </w:r>
      <w:r w:rsidR="00685124">
        <w:t>reinforce</w:t>
      </w:r>
      <w:r w:rsidR="002353C0">
        <w:t xml:space="preserve"> the existing asymmetries.</w:t>
      </w:r>
    </w:p>
    <w:p w14:paraId="496B4436" w14:textId="6DCADF65" w:rsidR="00A73F31" w:rsidRPr="00C37464" w:rsidRDefault="00C37464" w:rsidP="002353C0">
      <w:pPr>
        <w:widowControl w:val="0"/>
        <w:autoSpaceDE w:val="0"/>
        <w:autoSpaceDN w:val="0"/>
        <w:adjustRightInd w:val="0"/>
        <w:spacing w:line="276" w:lineRule="auto"/>
        <w:jc w:val="both"/>
        <w:rPr>
          <w:rFonts w:ascii="Calibri" w:eastAsia="Times New Roman" w:hAnsi="Calibri"/>
          <w:color w:val="000000"/>
        </w:rPr>
      </w:pPr>
      <w:r>
        <w:tab/>
      </w:r>
      <w:r w:rsidR="00A73F31" w:rsidRPr="00C135A8">
        <w:t xml:space="preserve">During the 2000s, digital technology and the Internet impacted all copyright-based products, enabling the emergence of a new trend in business model for delivering cultural goods: one based on online platforms that shift cultural access from ownership to access </w:t>
      </w:r>
      <w:r w:rsidR="00A73F31" w:rsidRPr="00C135A8">
        <w:rPr>
          <w:color w:val="000000"/>
        </w:rPr>
        <w:t>(</w:t>
      </w:r>
      <w:r w:rsidR="00A73F31" w:rsidRPr="00C135A8">
        <w:rPr>
          <w:color w:val="0000FF"/>
        </w:rPr>
        <w:t>Datta et al.</w:t>
      </w:r>
      <w:r w:rsidR="00A73F31" w:rsidRPr="00C135A8">
        <w:rPr>
          <w:color w:val="000000"/>
        </w:rPr>
        <w:t xml:space="preserve">, </w:t>
      </w:r>
      <w:r w:rsidR="00A73F31" w:rsidRPr="00C135A8">
        <w:rPr>
          <w:color w:val="0000FF"/>
        </w:rPr>
        <w:t>2017</w:t>
      </w:r>
      <w:r w:rsidR="00A73F31" w:rsidRPr="00C135A8">
        <w:rPr>
          <w:color w:val="000000"/>
        </w:rPr>
        <w:t xml:space="preserve">; </w:t>
      </w:r>
      <w:r w:rsidR="00A73F31" w:rsidRPr="00C135A8">
        <w:rPr>
          <w:color w:val="0000FF"/>
        </w:rPr>
        <w:t>Waldfogel</w:t>
      </w:r>
      <w:r w:rsidR="00A73F31" w:rsidRPr="00C135A8">
        <w:rPr>
          <w:color w:val="000000"/>
        </w:rPr>
        <w:t xml:space="preserve">, </w:t>
      </w:r>
      <w:r w:rsidR="00A73F31" w:rsidRPr="00C135A8">
        <w:rPr>
          <w:color w:val="0000FF"/>
        </w:rPr>
        <w:t>2017</w:t>
      </w:r>
      <w:r w:rsidR="00A73F31" w:rsidRPr="00C135A8">
        <w:rPr>
          <w:color w:val="000000"/>
        </w:rPr>
        <w:t>). For instance, the music streaming platforms have increasingly gained strength across consumers. Although data of streaming usage is scattered, IFPI 2017 surveys suggest that near half of the music listeners use regularly audio streaming services and two thirds consume music through video streaming platforms. From a broader perspective, this effect is not restricted to cultural industries, but it is part of the “sharing economy” context, in which platforms have likewise emerged for intermediating the rental of many physical goods, such as apartments, cars and bicycles (</w:t>
      </w:r>
      <w:r w:rsidR="00A73F31" w:rsidRPr="00C135A8">
        <w:rPr>
          <w:color w:val="0000FF"/>
        </w:rPr>
        <w:t>Belk</w:t>
      </w:r>
      <w:r w:rsidR="00A73F31" w:rsidRPr="00C135A8">
        <w:rPr>
          <w:color w:val="000000"/>
        </w:rPr>
        <w:t xml:space="preserve">, </w:t>
      </w:r>
      <w:r w:rsidR="00A73F31" w:rsidRPr="00C135A8">
        <w:rPr>
          <w:color w:val="0000FF"/>
        </w:rPr>
        <w:t>2014</w:t>
      </w:r>
      <w:r w:rsidR="00A73F31" w:rsidRPr="00C135A8">
        <w:rPr>
          <w:color w:val="000000"/>
        </w:rPr>
        <w:t xml:space="preserve">; </w:t>
      </w:r>
      <w:r w:rsidR="00A73F31" w:rsidRPr="00C135A8">
        <w:rPr>
          <w:color w:val="0000FF"/>
        </w:rPr>
        <w:t>Duch-Brown</w:t>
      </w:r>
      <w:r w:rsidR="00A73F31" w:rsidRPr="00C135A8">
        <w:rPr>
          <w:color w:val="000000"/>
        </w:rPr>
        <w:t xml:space="preserve"> </w:t>
      </w:r>
      <w:r w:rsidR="00A73F31" w:rsidRPr="00C135A8">
        <w:rPr>
          <w:color w:val="0000FF"/>
        </w:rPr>
        <w:t>et al.</w:t>
      </w:r>
      <w:r w:rsidR="00A73F31" w:rsidRPr="00C135A8">
        <w:rPr>
          <w:color w:val="000000"/>
        </w:rPr>
        <w:t xml:space="preserve">, </w:t>
      </w:r>
      <w:r w:rsidR="00A73F31" w:rsidRPr="00C135A8">
        <w:rPr>
          <w:color w:val="0000FF"/>
        </w:rPr>
        <w:t>2017</w:t>
      </w:r>
      <w:r w:rsidR="00A73F31" w:rsidRPr="00C135A8">
        <w:rPr>
          <w:color w:val="000000"/>
        </w:rPr>
        <w:t>).</w:t>
      </w:r>
    </w:p>
    <w:p w14:paraId="23D52C82" w14:textId="77777777" w:rsidR="00685124" w:rsidRDefault="00EE3ACC" w:rsidP="00685124">
      <w:pPr>
        <w:widowControl w:val="0"/>
        <w:autoSpaceDE w:val="0"/>
        <w:autoSpaceDN w:val="0"/>
        <w:adjustRightInd w:val="0"/>
        <w:spacing w:line="276" w:lineRule="auto"/>
        <w:jc w:val="both"/>
        <w:rPr>
          <w:color w:val="000000"/>
        </w:rPr>
      </w:pPr>
      <w:r w:rsidRPr="00C135A8">
        <w:rPr>
          <w:color w:val="000000"/>
        </w:rPr>
        <w:tab/>
        <w:t>Most of the literature discussing the digitalization impacts on cultural industries has focused on the supply side effects, including the consequences of costs reduction for bringing new products to the market (</w:t>
      </w:r>
      <w:r w:rsidRPr="00C135A8">
        <w:rPr>
          <w:color w:val="0000FF"/>
        </w:rPr>
        <w:t>Waldfogel, 2017</w:t>
      </w:r>
      <w:r w:rsidRPr="00C135A8">
        <w:rPr>
          <w:color w:val="000000"/>
        </w:rPr>
        <w:t>); the investigation of</w:t>
      </w:r>
      <w:r w:rsidR="00B76547" w:rsidRPr="00C135A8">
        <w:t xml:space="preserve"> whether </w:t>
      </w:r>
      <w:r w:rsidR="00A73F31" w:rsidRPr="00C135A8">
        <w:t xml:space="preserve">streaming </w:t>
      </w:r>
      <w:r w:rsidR="00A73F31" w:rsidRPr="00C135A8">
        <w:t>substitutes or complements other mode</w:t>
      </w:r>
      <w:r w:rsidR="00A73F31" w:rsidRPr="00C135A8">
        <w:t xml:space="preserve">s of </w:t>
      </w:r>
      <w:r w:rsidR="00B76547" w:rsidRPr="00C135A8">
        <w:t xml:space="preserve">cultural </w:t>
      </w:r>
      <w:r w:rsidR="00A73F31" w:rsidRPr="00C135A8">
        <w:t>consumption channels</w:t>
      </w:r>
      <w:r w:rsidR="00762D7B" w:rsidRPr="00C135A8">
        <w:t>,</w:t>
      </w:r>
      <w:r w:rsidR="00A73F31" w:rsidRPr="00C135A8">
        <w:t xml:space="preserve"> </w:t>
      </w:r>
      <w:r w:rsidR="00B76547" w:rsidRPr="00C135A8">
        <w:t>so as to verify the effects on the</w:t>
      </w:r>
      <w:r w:rsidR="00A73F31" w:rsidRPr="00C135A8">
        <w:t xml:space="preserve"> </w:t>
      </w:r>
      <w:r w:rsidR="00B76547" w:rsidRPr="00C135A8">
        <w:t xml:space="preserve">industries </w:t>
      </w:r>
      <w:r w:rsidR="00A73F31" w:rsidRPr="00C135A8">
        <w:t>global</w:t>
      </w:r>
      <w:r w:rsidR="00A73F31" w:rsidRPr="00C135A8">
        <w:t xml:space="preserve"> revenues </w:t>
      </w:r>
      <w:r w:rsidR="00A73F31" w:rsidRPr="00C135A8">
        <w:rPr>
          <w:color w:val="000000"/>
        </w:rPr>
        <w:t>(</w:t>
      </w:r>
      <w:r w:rsidR="00B76547" w:rsidRPr="00C135A8">
        <w:rPr>
          <w:color w:val="000000"/>
        </w:rPr>
        <w:t xml:space="preserve">e.g. </w:t>
      </w:r>
      <w:r w:rsidR="00A73F31" w:rsidRPr="00C135A8">
        <w:rPr>
          <w:color w:val="0000FF"/>
        </w:rPr>
        <w:t>Aguiar and Waldfogel</w:t>
      </w:r>
      <w:r w:rsidR="00A73F31" w:rsidRPr="00C135A8">
        <w:rPr>
          <w:color w:val="000000"/>
        </w:rPr>
        <w:t xml:space="preserve">, </w:t>
      </w:r>
      <w:r w:rsidR="00A73F31" w:rsidRPr="00C135A8">
        <w:rPr>
          <w:color w:val="0000FF"/>
        </w:rPr>
        <w:t>2018</w:t>
      </w:r>
      <w:r w:rsidR="00C135A8" w:rsidRPr="00C135A8">
        <w:rPr>
          <w:color w:val="000000"/>
        </w:rPr>
        <w:t>); and the roles and strategies of digital platforms (</w:t>
      </w:r>
      <w:r w:rsidR="00C135A8" w:rsidRPr="00C135A8">
        <w:rPr>
          <w:color w:val="0000FF"/>
        </w:rPr>
        <w:t>Belleflamme, 2016</w:t>
      </w:r>
      <w:r w:rsidR="00C135A8" w:rsidRPr="00C135A8">
        <w:rPr>
          <w:color w:val="000000"/>
        </w:rPr>
        <w:t>).</w:t>
      </w:r>
      <w:r w:rsidR="00DA1DE5">
        <w:rPr>
          <w:color w:val="000000"/>
        </w:rPr>
        <w:t xml:space="preserve"> </w:t>
      </w:r>
    </w:p>
    <w:p w14:paraId="201A491C" w14:textId="38B5D3A1" w:rsidR="00CA504F" w:rsidRDefault="00685124" w:rsidP="00685124">
      <w:pPr>
        <w:widowControl w:val="0"/>
        <w:autoSpaceDE w:val="0"/>
        <w:autoSpaceDN w:val="0"/>
        <w:adjustRightInd w:val="0"/>
        <w:spacing w:line="276" w:lineRule="auto"/>
        <w:jc w:val="both"/>
        <w:rPr>
          <w:color w:val="000000"/>
        </w:rPr>
      </w:pPr>
      <w:r>
        <w:rPr>
          <w:color w:val="000000"/>
        </w:rPr>
        <w:tab/>
        <w:t>On the other hand</w:t>
      </w:r>
      <w:r w:rsidR="00DA1DE5">
        <w:rPr>
          <w:color w:val="000000"/>
        </w:rPr>
        <w:t>, the demand side effects remain underexplored</w:t>
      </w:r>
      <w:r w:rsidR="00C37464">
        <w:rPr>
          <w:color w:val="000000"/>
        </w:rPr>
        <w:t>, especially considering the</w:t>
      </w:r>
      <w:r>
        <w:rPr>
          <w:color w:val="000000"/>
        </w:rPr>
        <w:t xml:space="preserve"> potentials</w:t>
      </w:r>
      <w:r w:rsidR="00C37464">
        <w:rPr>
          <w:color w:val="000000"/>
        </w:rPr>
        <w:t xml:space="preserve"> </w:t>
      </w:r>
      <w:r>
        <w:rPr>
          <w:color w:val="000000"/>
        </w:rPr>
        <w:t>and</w:t>
      </w:r>
      <w:r w:rsidR="00C37464">
        <w:rPr>
          <w:color w:val="000000"/>
        </w:rPr>
        <w:t xml:space="preserve"> boundaries for the </w:t>
      </w:r>
      <w:r>
        <w:rPr>
          <w:color w:val="000000"/>
        </w:rPr>
        <w:t>inclusiveness of cultural access. By combining the evolutionary and the institutionalist approaches, t</w:t>
      </w:r>
      <w:r w:rsidR="00F917BF">
        <w:rPr>
          <w:color w:val="000000"/>
        </w:rPr>
        <w:t xml:space="preserve">his paper </w:t>
      </w:r>
      <w:r w:rsidRPr="00685124">
        <w:rPr>
          <w:color w:val="000000"/>
        </w:rPr>
        <w:t>propose</w:t>
      </w:r>
      <w:r w:rsidR="00F917BF">
        <w:rPr>
          <w:color w:val="000000"/>
        </w:rPr>
        <w:t>s</w:t>
      </w:r>
      <w:bookmarkStart w:id="0" w:name="_GoBack"/>
      <w:bookmarkEnd w:id="0"/>
      <w:r w:rsidRPr="00685124">
        <w:rPr>
          <w:color w:val="000000"/>
        </w:rPr>
        <w:t xml:space="preserve"> a framework to analyze to what extent the new technological paradigm may offer equal cultural access opportunities for people from differen</w:t>
      </w:r>
      <w:r>
        <w:rPr>
          <w:color w:val="000000"/>
        </w:rPr>
        <w:t>t localities and social classes.</w:t>
      </w:r>
    </w:p>
    <w:p w14:paraId="652A5393" w14:textId="77777777" w:rsidR="00685124" w:rsidRPr="00685124" w:rsidRDefault="00685124" w:rsidP="00685124">
      <w:pPr>
        <w:widowControl w:val="0"/>
        <w:autoSpaceDE w:val="0"/>
        <w:autoSpaceDN w:val="0"/>
        <w:adjustRightInd w:val="0"/>
        <w:spacing w:line="276" w:lineRule="auto"/>
        <w:jc w:val="both"/>
        <w:rPr>
          <w:color w:val="000000"/>
        </w:rPr>
      </w:pPr>
    </w:p>
    <w:p w14:paraId="2B7374FD" w14:textId="77777777" w:rsidR="00B76547" w:rsidRPr="00B76547" w:rsidRDefault="00B76547" w:rsidP="00B76547">
      <w:pPr>
        <w:widowControl w:val="0"/>
        <w:autoSpaceDE w:val="0"/>
        <w:autoSpaceDN w:val="0"/>
        <w:adjustRightInd w:val="0"/>
        <w:jc w:val="both"/>
        <w:rPr>
          <w:b/>
          <w:sz w:val="22"/>
          <w:szCs w:val="22"/>
        </w:rPr>
      </w:pPr>
      <w:r w:rsidRPr="00B76547">
        <w:rPr>
          <w:b/>
          <w:sz w:val="22"/>
          <w:szCs w:val="22"/>
        </w:rPr>
        <w:t>References</w:t>
      </w:r>
    </w:p>
    <w:p w14:paraId="3E4022D3" w14:textId="77777777" w:rsidR="00C135A8" w:rsidRDefault="00B76547" w:rsidP="00C135A8">
      <w:pPr>
        <w:widowControl w:val="0"/>
        <w:autoSpaceDE w:val="0"/>
        <w:autoSpaceDN w:val="0"/>
        <w:adjustRightInd w:val="0"/>
        <w:spacing w:before="120"/>
        <w:jc w:val="both"/>
        <w:rPr>
          <w:sz w:val="22"/>
          <w:szCs w:val="22"/>
        </w:rPr>
      </w:pPr>
      <w:r>
        <w:rPr>
          <w:sz w:val="22"/>
          <w:szCs w:val="22"/>
        </w:rPr>
        <w:t>Luis Aguiar and Joel Waldfogel. As streaming reaches flood stage, does it st</w:t>
      </w:r>
      <w:r>
        <w:rPr>
          <w:sz w:val="22"/>
          <w:szCs w:val="22"/>
        </w:rPr>
        <w:t xml:space="preserve">imulate or depress music sales? </w:t>
      </w:r>
      <w:r>
        <w:rPr>
          <w:sz w:val="22"/>
          <w:szCs w:val="22"/>
        </w:rPr>
        <w:t xml:space="preserve">Technical Report 21653, </w:t>
      </w:r>
      <w:r w:rsidRPr="00B5296B">
        <w:rPr>
          <w:i/>
          <w:sz w:val="22"/>
          <w:szCs w:val="22"/>
        </w:rPr>
        <w:t>International Journal of Industrial Organization</w:t>
      </w:r>
      <w:r>
        <w:rPr>
          <w:sz w:val="22"/>
          <w:szCs w:val="22"/>
        </w:rPr>
        <w:t>, 2018a.</w:t>
      </w:r>
    </w:p>
    <w:p w14:paraId="241313A1" w14:textId="44B6E12B" w:rsidR="00C135A8" w:rsidRDefault="00C135A8" w:rsidP="00C135A8">
      <w:pPr>
        <w:widowControl w:val="0"/>
        <w:autoSpaceDE w:val="0"/>
        <w:autoSpaceDN w:val="0"/>
        <w:adjustRightInd w:val="0"/>
        <w:spacing w:before="120"/>
        <w:jc w:val="both"/>
        <w:rPr>
          <w:sz w:val="22"/>
          <w:szCs w:val="22"/>
        </w:rPr>
      </w:pPr>
      <w:r>
        <w:rPr>
          <w:sz w:val="22"/>
          <w:szCs w:val="22"/>
        </w:rPr>
        <w:t xml:space="preserve">Paul Belleflamme. The economics of digital goods: a progress report. </w:t>
      </w:r>
      <w:r w:rsidRPr="00B5296B">
        <w:rPr>
          <w:i/>
          <w:sz w:val="22"/>
          <w:szCs w:val="22"/>
        </w:rPr>
        <w:t>Review of Economic Research on</w:t>
      </w:r>
      <w:r w:rsidRPr="00B5296B">
        <w:rPr>
          <w:i/>
          <w:sz w:val="22"/>
          <w:szCs w:val="22"/>
        </w:rPr>
        <w:t xml:space="preserve"> </w:t>
      </w:r>
      <w:r w:rsidRPr="00B5296B">
        <w:rPr>
          <w:i/>
          <w:sz w:val="22"/>
          <w:szCs w:val="22"/>
        </w:rPr>
        <w:t>Copyright Issues</w:t>
      </w:r>
      <w:r>
        <w:rPr>
          <w:sz w:val="22"/>
          <w:szCs w:val="22"/>
        </w:rPr>
        <w:t>, 13(2):1–24, 2016.</w:t>
      </w:r>
    </w:p>
    <w:p w14:paraId="72FD1724" w14:textId="77777777" w:rsidR="00B5296B" w:rsidRDefault="00B76547" w:rsidP="00B5296B">
      <w:pPr>
        <w:widowControl w:val="0"/>
        <w:autoSpaceDE w:val="0"/>
        <w:autoSpaceDN w:val="0"/>
        <w:adjustRightInd w:val="0"/>
        <w:spacing w:before="120"/>
        <w:jc w:val="both"/>
        <w:rPr>
          <w:sz w:val="22"/>
          <w:szCs w:val="22"/>
        </w:rPr>
      </w:pPr>
      <w:r>
        <w:rPr>
          <w:sz w:val="22"/>
          <w:szCs w:val="22"/>
        </w:rPr>
        <w:t>Russell Belk. You are what you can access: sharing and collaborative consumpt</w:t>
      </w:r>
      <w:r>
        <w:rPr>
          <w:sz w:val="22"/>
          <w:szCs w:val="22"/>
        </w:rPr>
        <w:t xml:space="preserve">ion online. </w:t>
      </w:r>
      <w:r w:rsidRPr="00B5296B">
        <w:rPr>
          <w:i/>
          <w:sz w:val="22"/>
          <w:szCs w:val="22"/>
        </w:rPr>
        <w:t xml:space="preserve">Journal of Business </w:t>
      </w:r>
      <w:r w:rsidRPr="00B5296B">
        <w:rPr>
          <w:i/>
          <w:sz w:val="22"/>
          <w:szCs w:val="22"/>
        </w:rPr>
        <w:t>Research</w:t>
      </w:r>
      <w:r>
        <w:rPr>
          <w:sz w:val="22"/>
          <w:szCs w:val="22"/>
        </w:rPr>
        <w:t>, 67(8):1595–1600, August 2014.</w:t>
      </w:r>
    </w:p>
    <w:p w14:paraId="25B25C0A" w14:textId="610AC352" w:rsidR="00B5296B" w:rsidRDefault="00B5296B" w:rsidP="00B76547">
      <w:pPr>
        <w:widowControl w:val="0"/>
        <w:autoSpaceDE w:val="0"/>
        <w:autoSpaceDN w:val="0"/>
        <w:adjustRightInd w:val="0"/>
        <w:spacing w:before="120"/>
        <w:jc w:val="both"/>
        <w:rPr>
          <w:sz w:val="22"/>
          <w:szCs w:val="22"/>
        </w:rPr>
      </w:pPr>
      <w:r>
        <w:rPr>
          <w:rFonts w:ascii="Arial" w:eastAsia="Times New Roman" w:hAnsi="Arial" w:cs="Arial"/>
          <w:color w:val="222222"/>
          <w:sz w:val="20"/>
          <w:szCs w:val="20"/>
          <w:shd w:val="clear" w:color="auto" w:fill="FFFFFF"/>
        </w:rPr>
        <w:t xml:space="preserve">Pascal </w:t>
      </w:r>
      <w:r>
        <w:rPr>
          <w:rFonts w:ascii="Arial" w:eastAsia="Times New Roman" w:hAnsi="Arial" w:cs="Arial"/>
          <w:color w:val="222222"/>
          <w:sz w:val="20"/>
          <w:szCs w:val="20"/>
          <w:shd w:val="clear" w:color="auto" w:fill="FFFFFF"/>
        </w:rPr>
        <w:t>Courty</w:t>
      </w:r>
      <w:r>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and Zhang</w:t>
      </w:r>
      <w:r>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Fenghua. "Cultural participation in major Chinese cities."</w:t>
      </w:r>
      <w:r>
        <w:rPr>
          <w:rStyle w:val="apple-converted-space"/>
          <w:rFonts w:ascii="Arial" w:eastAsia="Times New Roman" w:hAnsi="Arial" w:cs="Arial"/>
          <w:color w:val="222222"/>
          <w:sz w:val="20"/>
          <w:szCs w:val="20"/>
          <w:shd w:val="clear" w:color="auto" w:fill="FFFFFF"/>
        </w:rPr>
        <w:t> </w:t>
      </w:r>
      <w:r>
        <w:rPr>
          <w:rFonts w:ascii="Arial" w:eastAsia="Times New Roman" w:hAnsi="Arial" w:cs="Arial"/>
          <w:i/>
          <w:iCs/>
          <w:color w:val="222222"/>
          <w:sz w:val="20"/>
          <w:szCs w:val="20"/>
        </w:rPr>
        <w:t>Journal of Cultural Economics</w:t>
      </w:r>
      <w:r>
        <w:rPr>
          <w:rStyle w:val="apple-converted-space"/>
          <w:rFonts w:ascii="Arial" w:eastAsia="Times New Roman" w:hAnsi="Arial" w:cs="Arial"/>
          <w:color w:val="222222"/>
          <w:sz w:val="20"/>
          <w:szCs w:val="20"/>
          <w:shd w:val="clear" w:color="auto" w:fill="FFFFFF"/>
        </w:rPr>
        <w:t> </w:t>
      </w:r>
      <w:r>
        <w:rPr>
          <w:rFonts w:ascii="Arial" w:eastAsia="Times New Roman" w:hAnsi="Arial" w:cs="Arial"/>
          <w:color w:val="222222"/>
          <w:sz w:val="20"/>
          <w:szCs w:val="20"/>
          <w:shd w:val="clear" w:color="auto" w:fill="FFFFFF"/>
        </w:rPr>
        <w:t>(2018): 1-50.</w:t>
      </w:r>
    </w:p>
    <w:p w14:paraId="50B53CD3" w14:textId="77777777" w:rsidR="00B76547" w:rsidRDefault="00B76547" w:rsidP="00B76547">
      <w:pPr>
        <w:widowControl w:val="0"/>
        <w:autoSpaceDE w:val="0"/>
        <w:autoSpaceDN w:val="0"/>
        <w:adjustRightInd w:val="0"/>
        <w:spacing w:before="120"/>
        <w:jc w:val="both"/>
        <w:rPr>
          <w:sz w:val="22"/>
          <w:szCs w:val="22"/>
        </w:rPr>
      </w:pPr>
      <w:r>
        <w:rPr>
          <w:sz w:val="22"/>
          <w:szCs w:val="22"/>
        </w:rPr>
        <w:t>Hannes Datta, George Knox, and Bart J. Bronnenberg. Changing their tune: how consumers’ adoption of</w:t>
      </w:r>
      <w:r>
        <w:rPr>
          <w:sz w:val="22"/>
          <w:szCs w:val="22"/>
        </w:rPr>
        <w:t xml:space="preserve"> </w:t>
      </w:r>
      <w:r>
        <w:rPr>
          <w:sz w:val="22"/>
          <w:szCs w:val="22"/>
        </w:rPr>
        <w:t xml:space="preserve">online streaming affects music consumption and discovery. </w:t>
      </w:r>
      <w:r w:rsidRPr="00B5296B">
        <w:rPr>
          <w:i/>
          <w:sz w:val="22"/>
          <w:szCs w:val="22"/>
        </w:rPr>
        <w:t>Marketing Science</w:t>
      </w:r>
      <w:r>
        <w:rPr>
          <w:sz w:val="22"/>
          <w:szCs w:val="22"/>
        </w:rPr>
        <w:t>, 37(1):5–21, 2017.</w:t>
      </w:r>
    </w:p>
    <w:p w14:paraId="53EB434B" w14:textId="77777777" w:rsidR="00B76547" w:rsidRDefault="00B76547" w:rsidP="00B76547">
      <w:pPr>
        <w:widowControl w:val="0"/>
        <w:autoSpaceDE w:val="0"/>
        <w:autoSpaceDN w:val="0"/>
        <w:adjustRightInd w:val="0"/>
        <w:spacing w:before="120"/>
        <w:jc w:val="both"/>
        <w:rPr>
          <w:sz w:val="22"/>
          <w:szCs w:val="22"/>
        </w:rPr>
      </w:pPr>
      <w:r>
        <w:rPr>
          <w:sz w:val="22"/>
          <w:szCs w:val="22"/>
        </w:rPr>
        <w:lastRenderedPageBreak/>
        <w:t>Nestor Duch-Brown, Bertin Martens, and Frank Mueller-Langer. The Economics of Ownership, Access and Trade in Digital Data. Technical Report 2017-01, Joint Research Centre of the European Commission, 2017.</w:t>
      </w:r>
    </w:p>
    <w:p w14:paraId="03816985" w14:textId="77777777" w:rsidR="00B76547" w:rsidRDefault="00B76547" w:rsidP="00B76547">
      <w:pPr>
        <w:widowControl w:val="0"/>
        <w:autoSpaceDE w:val="0"/>
        <w:autoSpaceDN w:val="0"/>
        <w:adjustRightInd w:val="0"/>
        <w:spacing w:before="120"/>
        <w:jc w:val="both"/>
        <w:rPr>
          <w:sz w:val="22"/>
          <w:szCs w:val="22"/>
        </w:rPr>
      </w:pPr>
      <w:r>
        <w:rPr>
          <w:sz w:val="22"/>
          <w:szCs w:val="22"/>
        </w:rPr>
        <w:t>Joel Waldfogel. Copyright protection, technological change, and the quality of new products: Evidence from</w:t>
      </w:r>
      <w:r>
        <w:rPr>
          <w:sz w:val="22"/>
          <w:szCs w:val="22"/>
        </w:rPr>
        <w:t xml:space="preserve"> </w:t>
      </w:r>
      <w:r>
        <w:rPr>
          <w:sz w:val="22"/>
          <w:szCs w:val="22"/>
        </w:rPr>
        <w:t xml:space="preserve">recorded music since Napster. </w:t>
      </w:r>
      <w:r w:rsidRPr="00B5296B">
        <w:rPr>
          <w:i/>
          <w:sz w:val="22"/>
          <w:szCs w:val="22"/>
        </w:rPr>
        <w:t>The journal of law and economics</w:t>
      </w:r>
      <w:r>
        <w:rPr>
          <w:sz w:val="22"/>
          <w:szCs w:val="22"/>
        </w:rPr>
        <w:t>, 55(4):715–740, 2012.</w:t>
      </w:r>
    </w:p>
    <w:sectPr w:rsidR="00B76547" w:rsidSect="00D4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31"/>
    <w:rsid w:val="0021645E"/>
    <w:rsid w:val="00226E93"/>
    <w:rsid w:val="002353C0"/>
    <w:rsid w:val="00685124"/>
    <w:rsid w:val="006E0AB5"/>
    <w:rsid w:val="00762D7B"/>
    <w:rsid w:val="00867710"/>
    <w:rsid w:val="0096225F"/>
    <w:rsid w:val="00A73F31"/>
    <w:rsid w:val="00B5296B"/>
    <w:rsid w:val="00B76547"/>
    <w:rsid w:val="00C135A8"/>
    <w:rsid w:val="00C37464"/>
    <w:rsid w:val="00D423F9"/>
    <w:rsid w:val="00DA1DE5"/>
    <w:rsid w:val="00DE5179"/>
    <w:rsid w:val="00EE3ACC"/>
    <w:rsid w:val="00F23793"/>
    <w:rsid w:val="00F9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E14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6B"/>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autoRedefine/>
    <w:qFormat/>
    <w:rsid w:val="00226E93"/>
    <w:pPr>
      <w:spacing w:before="120" w:after="0"/>
    </w:pPr>
    <w:rPr>
      <w:b/>
      <w:bCs/>
    </w:rPr>
  </w:style>
  <w:style w:type="paragraph" w:styleId="TOC1">
    <w:name w:val="toc 1"/>
    <w:basedOn w:val="Normal"/>
    <w:next w:val="Normal"/>
    <w:autoRedefine/>
    <w:uiPriority w:val="39"/>
    <w:semiHidden/>
    <w:unhideWhenUsed/>
    <w:rsid w:val="00226E93"/>
    <w:pPr>
      <w:spacing w:after="100"/>
    </w:pPr>
    <w:rPr>
      <w:rFonts w:asciiTheme="minorHAnsi" w:hAnsiTheme="minorHAnsi" w:cstheme="minorBidi"/>
    </w:rPr>
  </w:style>
  <w:style w:type="paragraph" w:styleId="NormalWeb">
    <w:name w:val="Normal (Web)"/>
    <w:basedOn w:val="Normal"/>
    <w:uiPriority w:val="99"/>
    <w:semiHidden/>
    <w:unhideWhenUsed/>
    <w:rsid w:val="0021645E"/>
    <w:pPr>
      <w:spacing w:before="100" w:beforeAutospacing="1" w:after="100" w:afterAutospacing="1"/>
    </w:pPr>
  </w:style>
  <w:style w:type="character" w:styleId="Hyperlink">
    <w:name w:val="Hyperlink"/>
    <w:basedOn w:val="DefaultParagraphFont"/>
    <w:uiPriority w:val="99"/>
    <w:semiHidden/>
    <w:unhideWhenUsed/>
    <w:rsid w:val="00C37464"/>
    <w:rPr>
      <w:color w:val="0563C1"/>
      <w:u w:val="single"/>
    </w:rPr>
  </w:style>
  <w:style w:type="character" w:customStyle="1" w:styleId="apple-converted-space">
    <w:name w:val="apple-converted-space"/>
    <w:basedOn w:val="DefaultParagraphFont"/>
    <w:rsid w:val="00B5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4757">
      <w:bodyDiv w:val="1"/>
      <w:marLeft w:val="0"/>
      <w:marRight w:val="0"/>
      <w:marTop w:val="0"/>
      <w:marBottom w:val="0"/>
      <w:divBdr>
        <w:top w:val="none" w:sz="0" w:space="0" w:color="auto"/>
        <w:left w:val="none" w:sz="0" w:space="0" w:color="auto"/>
        <w:bottom w:val="none" w:sz="0" w:space="0" w:color="auto"/>
        <w:right w:val="none" w:sz="0" w:space="0" w:color="auto"/>
      </w:divBdr>
    </w:div>
    <w:div w:id="201672536">
      <w:bodyDiv w:val="1"/>
      <w:marLeft w:val="0"/>
      <w:marRight w:val="0"/>
      <w:marTop w:val="0"/>
      <w:marBottom w:val="0"/>
      <w:divBdr>
        <w:top w:val="none" w:sz="0" w:space="0" w:color="auto"/>
        <w:left w:val="none" w:sz="0" w:space="0" w:color="auto"/>
        <w:bottom w:val="none" w:sz="0" w:space="0" w:color="auto"/>
        <w:right w:val="none" w:sz="0" w:space="0" w:color="auto"/>
      </w:divBdr>
    </w:div>
    <w:div w:id="343242370">
      <w:bodyDiv w:val="1"/>
      <w:marLeft w:val="0"/>
      <w:marRight w:val="0"/>
      <w:marTop w:val="0"/>
      <w:marBottom w:val="0"/>
      <w:divBdr>
        <w:top w:val="none" w:sz="0" w:space="0" w:color="auto"/>
        <w:left w:val="none" w:sz="0" w:space="0" w:color="auto"/>
        <w:bottom w:val="none" w:sz="0" w:space="0" w:color="auto"/>
        <w:right w:val="none" w:sz="0" w:space="0" w:color="auto"/>
      </w:divBdr>
    </w:div>
    <w:div w:id="1142429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542</Words>
  <Characters>3127</Characters>
  <Application>Microsoft Macintosh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2019-01-29T18:22:00Z</dcterms:created>
  <dcterms:modified xsi:type="dcterms:W3CDTF">2019-01-29T20:03:00Z</dcterms:modified>
</cp:coreProperties>
</file>