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D4" w:rsidRPr="00B65BC7" w:rsidRDefault="00337CD4" w:rsidP="00B65BC7">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B65BC7">
        <w:rPr>
          <w:rFonts w:ascii="Cambria" w:eastAsia="Times New Roman" w:hAnsi="Cambria" w:cs="Times New Roman"/>
          <w:sz w:val="24"/>
          <w:szCs w:val="24"/>
          <w:lang w:val="en-US" w:eastAsia="fr-FR"/>
        </w:rPr>
        <w:t>Impossible examples in microeconomic textbooks : what justifications ?</w:t>
      </w:r>
    </w:p>
    <w:p w:rsidR="00337CD4" w:rsidRPr="00B65BC7" w:rsidRDefault="00337CD4" w:rsidP="00337CD4">
      <w:pPr>
        <w:spacing w:after="0" w:line="240" w:lineRule="auto"/>
        <w:ind w:left="2126"/>
        <w:rPr>
          <w:rFonts w:ascii="Times New Roman" w:eastAsia="Times New Roman" w:hAnsi="Times New Roman" w:cs="Times New Roman"/>
          <w:sz w:val="24"/>
          <w:szCs w:val="24"/>
          <w:lang w:eastAsia="fr-FR"/>
        </w:rPr>
      </w:pPr>
      <w:r w:rsidRPr="00B65BC7">
        <w:rPr>
          <w:rFonts w:ascii="Cambria" w:eastAsia="Times New Roman" w:hAnsi="Cambria" w:cs="Times New Roman"/>
          <w:sz w:val="24"/>
          <w:szCs w:val="24"/>
          <w:lang w:eastAsia="fr-FR"/>
        </w:rPr>
        <w:t>Emmanuelle Bénicourt (</w:t>
      </w:r>
      <w:r w:rsidR="00A82973" w:rsidRPr="00B65BC7">
        <w:rPr>
          <w:rFonts w:ascii="Cambria" w:eastAsia="Times New Roman" w:hAnsi="Cambria" w:cs="Times New Roman"/>
          <w:sz w:val="24"/>
          <w:szCs w:val="24"/>
          <w:lang w:eastAsia="fr-FR"/>
        </w:rPr>
        <w:t xml:space="preserve">CRIISEA, </w:t>
      </w:r>
      <w:r w:rsidRPr="00B65BC7">
        <w:rPr>
          <w:rFonts w:ascii="Cambria" w:eastAsia="Times New Roman" w:hAnsi="Cambria" w:cs="Times New Roman"/>
          <w:sz w:val="24"/>
          <w:szCs w:val="24"/>
          <w:lang w:eastAsia="fr-FR"/>
        </w:rPr>
        <w:t xml:space="preserve">U. Picardie Jules Verne) </w:t>
      </w:r>
    </w:p>
    <w:p w:rsidR="00337CD4" w:rsidRPr="00B65BC7" w:rsidRDefault="00337CD4" w:rsidP="00337CD4">
      <w:pPr>
        <w:spacing w:before="100" w:beforeAutospacing="1" w:after="100" w:afterAutospacing="1" w:line="240" w:lineRule="auto"/>
        <w:ind w:left="2124"/>
        <w:rPr>
          <w:rFonts w:ascii="Times New Roman" w:eastAsia="Times New Roman" w:hAnsi="Times New Roman" w:cs="Times New Roman"/>
          <w:sz w:val="24"/>
          <w:szCs w:val="24"/>
          <w:lang w:eastAsia="fr-FR"/>
        </w:rPr>
      </w:pPr>
      <w:r w:rsidRPr="00B65BC7">
        <w:rPr>
          <w:rFonts w:ascii="Cambria" w:eastAsia="Times New Roman" w:hAnsi="Cambria" w:cs="Times New Roman"/>
          <w:sz w:val="24"/>
          <w:szCs w:val="24"/>
          <w:lang w:eastAsia="fr-FR"/>
        </w:rPr>
        <w:t>Sophie Jallais (PHARE, U. Paris 1 – Panthéon-Sorbonne)</w:t>
      </w:r>
    </w:p>
    <w:p w:rsidR="00337CD4" w:rsidRPr="00B65BC7" w:rsidRDefault="00337CD4" w:rsidP="00337CD4">
      <w:pPr>
        <w:spacing w:before="100" w:beforeAutospacing="1" w:after="100" w:afterAutospacing="1" w:line="240" w:lineRule="auto"/>
        <w:rPr>
          <w:rFonts w:ascii="Times New Roman" w:eastAsia="Times New Roman" w:hAnsi="Times New Roman" w:cs="Times New Roman"/>
          <w:sz w:val="24"/>
          <w:szCs w:val="24"/>
          <w:lang w:eastAsia="fr-FR"/>
        </w:rPr>
      </w:pPr>
      <w:r w:rsidRPr="00B65BC7">
        <w:rPr>
          <w:rFonts w:ascii="Cambria" w:eastAsia="Times New Roman" w:hAnsi="Cambria" w:cs="Times New Roman"/>
          <w:sz w:val="24"/>
          <w:szCs w:val="24"/>
          <w:lang w:eastAsia="fr-FR"/>
        </w:rPr>
        <w:t> </w:t>
      </w:r>
    </w:p>
    <w:p w:rsidR="00337CD4" w:rsidRPr="00B65BC7" w:rsidRDefault="00337CD4" w:rsidP="00337CD4">
      <w:pPr>
        <w:spacing w:before="100" w:beforeAutospacing="1" w:after="100" w:afterAutospacing="1" w:line="240" w:lineRule="auto"/>
        <w:rPr>
          <w:rFonts w:ascii="Times New Roman" w:eastAsia="Times New Roman" w:hAnsi="Times New Roman" w:cs="Times New Roman"/>
          <w:sz w:val="24"/>
          <w:szCs w:val="24"/>
          <w:lang w:eastAsia="fr-FR"/>
        </w:rPr>
      </w:pPr>
      <w:r w:rsidRPr="00B65BC7">
        <w:rPr>
          <w:rFonts w:ascii="Cambria" w:eastAsia="Times New Roman" w:hAnsi="Cambria" w:cs="Times New Roman"/>
          <w:sz w:val="24"/>
          <w:szCs w:val="24"/>
          <w:lang w:eastAsia="fr-FR"/>
        </w:rPr>
        <w:t> </w:t>
      </w:r>
    </w:p>
    <w:p w:rsidR="001D3573" w:rsidRPr="00B65BC7" w:rsidRDefault="00337CD4" w:rsidP="001D3573">
      <w:pPr>
        <w:jc w:val="both"/>
        <w:rPr>
          <w:rFonts w:asciiTheme="majorHAnsi" w:hAnsiTheme="majorHAnsi"/>
          <w:sz w:val="24"/>
          <w:szCs w:val="24"/>
          <w:lang w:val="en-US"/>
        </w:rPr>
      </w:pPr>
      <w:r w:rsidRPr="00B65BC7">
        <w:rPr>
          <w:rFonts w:ascii="Cambria" w:eastAsia="Times New Roman" w:hAnsi="Cambria" w:cs="Times New Roman"/>
          <w:sz w:val="24"/>
          <w:szCs w:val="24"/>
          <w:lang w:val="en-US" w:eastAsia="fr-FR"/>
        </w:rPr>
        <w:t>This presentation deals with some of the examples given in microeconomic textbooks. In textbooks, examples are primarily used for educational purposes : they can be used to present, explain or illustrate a concept, an assumption or a model. But the key role they play goes far beyond that. According to Kuhn, standard examples (the Greek word for ‘example’ is ‘</w:t>
      </w:r>
      <w:r w:rsidRPr="00B65BC7">
        <w:rPr>
          <w:rFonts w:ascii="Cambria" w:eastAsia="Times New Roman" w:hAnsi="Cambria" w:cs="Times New Roman"/>
          <w:i/>
          <w:iCs/>
          <w:sz w:val="24"/>
          <w:szCs w:val="24"/>
          <w:lang w:val="en-US" w:eastAsia="fr-FR"/>
        </w:rPr>
        <w:t>paradeigma’</w:t>
      </w:r>
      <w:r w:rsidRPr="00B65BC7">
        <w:rPr>
          <w:rFonts w:ascii="Cambria" w:eastAsia="Times New Roman" w:hAnsi="Cambria" w:cs="Times New Roman"/>
          <w:sz w:val="24"/>
          <w:szCs w:val="24"/>
          <w:lang w:val="en-US" w:eastAsia="fr-FR"/>
        </w:rPr>
        <w:t xml:space="preserve">) students read in scientific textbooks are an essential part of the process by which they not only absorb the significance and scope of theories, but also tacitly acquire a group-licensed way of looking </w:t>
      </w:r>
      <w:r w:rsidR="00383B3E" w:rsidRPr="00B65BC7">
        <w:rPr>
          <w:rFonts w:ascii="Cambria" w:eastAsia="Times New Roman" w:hAnsi="Cambria" w:cs="Times New Roman"/>
          <w:sz w:val="24"/>
          <w:szCs w:val="24"/>
          <w:lang w:val="en-US" w:eastAsia="fr-FR"/>
        </w:rPr>
        <w:t xml:space="preserve">at </w:t>
      </w:r>
      <w:r w:rsidRPr="00B65BC7">
        <w:rPr>
          <w:rFonts w:ascii="Cambria" w:eastAsia="Times New Roman" w:hAnsi="Cambria" w:cs="Times New Roman"/>
          <w:sz w:val="24"/>
          <w:szCs w:val="24"/>
          <w:lang w:val="en-US" w:eastAsia="fr-FR"/>
        </w:rPr>
        <w:t xml:space="preserve">the world, so that </w:t>
      </w:r>
      <w:r w:rsidR="00B65BC7" w:rsidRPr="00B65BC7">
        <w:rPr>
          <w:rFonts w:ascii="Cambria" w:eastAsia="Times New Roman" w:hAnsi="Cambria" w:cs="Times New Roman"/>
          <w:sz w:val="24"/>
          <w:szCs w:val="24"/>
          <w:lang w:val="en-US" w:eastAsia="fr-FR"/>
        </w:rPr>
        <w:t>d</w:t>
      </w:r>
      <w:r w:rsidR="001D3573" w:rsidRPr="00B65BC7">
        <w:rPr>
          <w:rFonts w:ascii="Cambria" w:eastAsia="Times New Roman" w:hAnsi="Cambria" w:cs="Times New Roman"/>
          <w:sz w:val="24"/>
          <w:szCs w:val="24"/>
          <w:lang w:val="en-US" w:eastAsia="fr-FR"/>
        </w:rPr>
        <w:t xml:space="preserve">ifferences in the nature and use of examples attest of the structure of scientific groups within the community. </w:t>
      </w:r>
    </w:p>
    <w:p w:rsidR="00337CD4" w:rsidRPr="00B65BC7" w:rsidRDefault="00337CD4" w:rsidP="00337CD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65BC7">
        <w:rPr>
          <w:rFonts w:ascii="Cambria" w:eastAsia="Times New Roman" w:hAnsi="Cambria" w:cs="Times New Roman"/>
          <w:sz w:val="24"/>
          <w:szCs w:val="24"/>
          <w:lang w:val="en-US" w:eastAsia="fr-FR"/>
        </w:rPr>
        <w:t>In this presentation, we investigate the “impossible examples” taken in microeconomic textbooks. This terminology designates examples describing an « impossible world » (Jallais 2018), or examples which are, in fact, partly inconsistent with the very concept or hypothesis they exemplify. From a pedagogical point of view, unless they are unambiguously presented as being impossible, the use of this sort of example seems to be an aberration</w:t>
      </w:r>
      <w:r w:rsidR="00383B3E" w:rsidRPr="00B65BC7">
        <w:rPr>
          <w:rFonts w:ascii="Cambria" w:eastAsia="Times New Roman" w:hAnsi="Cambria" w:cs="Times New Roman"/>
          <w:sz w:val="24"/>
          <w:szCs w:val="24"/>
          <w:lang w:val="en-US" w:eastAsia="fr-FR"/>
        </w:rPr>
        <w:t xml:space="preserve">: </w:t>
      </w:r>
      <w:r w:rsidRPr="00B65BC7">
        <w:rPr>
          <w:rFonts w:ascii="Cambria" w:eastAsia="Times New Roman" w:hAnsi="Cambria" w:cs="Times New Roman"/>
          <w:i/>
          <w:iCs/>
          <w:sz w:val="24"/>
          <w:szCs w:val="24"/>
          <w:lang w:val="en-US" w:eastAsia="fr-FR"/>
        </w:rPr>
        <w:t>a priori</w:t>
      </w:r>
      <w:r w:rsidRPr="00B65BC7">
        <w:rPr>
          <w:rFonts w:ascii="Cambria" w:eastAsia="Times New Roman" w:hAnsi="Cambria" w:cs="Times New Roman"/>
          <w:sz w:val="24"/>
          <w:szCs w:val="24"/>
          <w:lang w:val="en-US" w:eastAsia="fr-FR"/>
        </w:rPr>
        <w:t xml:space="preserve"> </w:t>
      </w:r>
      <w:r w:rsidR="00383B3E" w:rsidRPr="00B65BC7">
        <w:rPr>
          <w:rFonts w:ascii="Cambria" w:eastAsia="Times New Roman" w:hAnsi="Cambria" w:cs="Times New Roman"/>
          <w:sz w:val="24"/>
          <w:szCs w:val="24"/>
          <w:lang w:val="en-US" w:eastAsia="fr-FR"/>
        </w:rPr>
        <w:t xml:space="preserve">they </w:t>
      </w:r>
      <w:r w:rsidRPr="00B65BC7">
        <w:rPr>
          <w:rFonts w:ascii="Cambria" w:eastAsia="Times New Roman" w:hAnsi="Cambria" w:cs="Times New Roman"/>
          <w:sz w:val="24"/>
          <w:szCs w:val="24"/>
          <w:lang w:val="en-US" w:eastAsia="fr-FR"/>
        </w:rPr>
        <w:t xml:space="preserve">cannot </w:t>
      </w:r>
      <w:r w:rsidR="00383B3E" w:rsidRPr="00B65BC7">
        <w:rPr>
          <w:rFonts w:ascii="Cambria" w:eastAsia="Times New Roman" w:hAnsi="Cambria" w:cs="Times New Roman"/>
          <w:sz w:val="24"/>
          <w:szCs w:val="24"/>
          <w:lang w:val="en-US" w:eastAsia="fr-FR"/>
        </w:rPr>
        <w:t xml:space="preserve">enable </w:t>
      </w:r>
      <w:r w:rsidRPr="00B65BC7">
        <w:rPr>
          <w:rFonts w:ascii="Cambria" w:eastAsia="Times New Roman" w:hAnsi="Cambria" w:cs="Times New Roman"/>
          <w:sz w:val="24"/>
          <w:szCs w:val="24"/>
          <w:lang w:val="en-US" w:eastAsia="fr-FR"/>
        </w:rPr>
        <w:t>students to understand a concept</w:t>
      </w:r>
      <w:r w:rsidR="00383B3E" w:rsidRPr="00B65BC7">
        <w:rPr>
          <w:rFonts w:ascii="Cambria" w:eastAsia="Times New Roman" w:hAnsi="Cambria" w:cs="Times New Roman"/>
          <w:sz w:val="24"/>
          <w:szCs w:val="24"/>
          <w:lang w:val="en-US" w:eastAsia="fr-FR"/>
        </w:rPr>
        <w:t xml:space="preserve"> or</w:t>
      </w:r>
      <w:r w:rsidRPr="00B65BC7">
        <w:rPr>
          <w:rFonts w:ascii="Cambria" w:eastAsia="Times New Roman" w:hAnsi="Cambria" w:cs="Times New Roman"/>
          <w:sz w:val="24"/>
          <w:szCs w:val="24"/>
          <w:lang w:val="en-US" w:eastAsia="fr-FR"/>
        </w:rPr>
        <w:t xml:space="preserve"> a hypothesis and even less </w:t>
      </w:r>
      <w:r w:rsidR="00383B3E" w:rsidRPr="00B65BC7">
        <w:rPr>
          <w:rFonts w:ascii="Cambria" w:eastAsia="Times New Roman" w:hAnsi="Cambria" w:cs="Times New Roman"/>
          <w:sz w:val="24"/>
          <w:szCs w:val="24"/>
          <w:lang w:val="en-US" w:eastAsia="fr-FR"/>
        </w:rPr>
        <w:t xml:space="preserve">its </w:t>
      </w:r>
      <w:r w:rsidRPr="00B65BC7">
        <w:rPr>
          <w:rFonts w:ascii="Cambria" w:eastAsia="Times New Roman" w:hAnsi="Cambria" w:cs="Times New Roman"/>
          <w:sz w:val="24"/>
          <w:szCs w:val="24"/>
          <w:lang w:val="en-US" w:eastAsia="fr-FR"/>
        </w:rPr>
        <w:t xml:space="preserve">scope. </w:t>
      </w:r>
      <w:r w:rsidR="00383B3E" w:rsidRPr="00B65BC7">
        <w:rPr>
          <w:rFonts w:ascii="Cambria" w:eastAsia="Times New Roman" w:hAnsi="Cambria" w:cs="Times New Roman"/>
          <w:sz w:val="24"/>
          <w:szCs w:val="24"/>
          <w:lang w:val="en-US" w:eastAsia="fr-FR"/>
        </w:rPr>
        <w:t xml:space="preserve">This </w:t>
      </w:r>
      <w:r w:rsidR="00004A38" w:rsidRPr="00B65BC7">
        <w:rPr>
          <w:rFonts w:ascii="Cambria" w:eastAsia="Times New Roman" w:hAnsi="Cambria" w:cs="Times New Roman"/>
          <w:sz w:val="24"/>
          <w:szCs w:val="24"/>
          <w:lang w:val="en-US" w:eastAsia="fr-FR"/>
        </w:rPr>
        <w:t xml:space="preserve">explains </w:t>
      </w:r>
      <w:r w:rsidRPr="00B65BC7">
        <w:rPr>
          <w:rFonts w:ascii="Cambria" w:eastAsia="Times New Roman" w:hAnsi="Cambria" w:cs="Times New Roman"/>
          <w:sz w:val="24"/>
          <w:szCs w:val="24"/>
          <w:lang w:val="en-US" w:eastAsia="fr-FR"/>
        </w:rPr>
        <w:t xml:space="preserve">why </w:t>
      </w:r>
      <w:r w:rsidRPr="00B65BC7">
        <w:rPr>
          <w:rFonts w:ascii="Cambria" w:eastAsia="Times New Roman" w:hAnsi="Cambria" w:cs="Times New Roman"/>
          <w:i/>
          <w:iCs/>
          <w:sz w:val="24"/>
          <w:szCs w:val="24"/>
          <w:lang w:val="en-US" w:eastAsia="fr-FR"/>
        </w:rPr>
        <w:t>we will investigate the rhetorics of impossible examples in the main microeconomics textbooks.  </w:t>
      </w:r>
    </w:p>
    <w:p w:rsidR="00337CD4" w:rsidRPr="00B65BC7" w:rsidRDefault="00337CD4" w:rsidP="00337CD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65BC7">
        <w:rPr>
          <w:rFonts w:ascii="Cambria" w:eastAsia="Times New Roman" w:hAnsi="Cambria" w:cs="Times New Roman"/>
          <w:sz w:val="24"/>
          <w:szCs w:val="24"/>
          <w:lang w:val="en-US" w:eastAsia="fr-FR"/>
        </w:rPr>
        <w:t>We will focus on the most renowned ones (best sellers, top 10 rankings…) like Mankiw’s, Krugman &amp; Wells’s, McConnell, Brue &amp; Flynn’s,  Cowen &amp; Tabarrok’s, Pindyck &amp; Rubinfeld’s, Varian’s, for example.</w:t>
      </w:r>
    </w:p>
    <w:p w:rsidR="00337CD4" w:rsidRDefault="00337CD4" w:rsidP="00337CD4">
      <w:pPr>
        <w:spacing w:before="100" w:beforeAutospacing="1" w:after="100" w:afterAutospacing="1" w:line="240" w:lineRule="auto"/>
        <w:jc w:val="both"/>
        <w:rPr>
          <w:rFonts w:ascii="Cambria" w:eastAsia="Times New Roman" w:hAnsi="Cambria" w:cs="Times New Roman"/>
          <w:sz w:val="24"/>
          <w:szCs w:val="24"/>
          <w:lang w:eastAsia="fr-FR"/>
        </w:rPr>
      </w:pPr>
      <w:r w:rsidRPr="00B65BC7">
        <w:rPr>
          <w:rFonts w:ascii="Cambria" w:eastAsia="Times New Roman" w:hAnsi="Cambria" w:cs="Times New Roman"/>
          <w:sz w:val="24"/>
          <w:szCs w:val="24"/>
          <w:lang w:val="en-US" w:eastAsia="fr-FR"/>
        </w:rPr>
        <w:t xml:space="preserve">We will more specifically examine the way(s) these « impossible examples » are presented. Are they used at specific moments in the presentation? Are these examples clearly presented as such? If so, how are they justified? What roles, if any, do these examples play in the introduction of the concepts and assumptions of the theory? </w:t>
      </w:r>
      <w:r w:rsidRPr="00B65BC7">
        <w:rPr>
          <w:rFonts w:ascii="Cambria" w:eastAsia="Times New Roman" w:hAnsi="Cambria" w:cs="Times New Roman"/>
          <w:sz w:val="24"/>
          <w:szCs w:val="24"/>
          <w:lang w:eastAsia="fr-FR"/>
        </w:rPr>
        <w:t xml:space="preserve">What (possibly specific) message do they give? </w:t>
      </w:r>
    </w:p>
    <w:p w:rsidR="00C2495D" w:rsidRDefault="00C2495D" w:rsidP="00337CD4">
      <w:pPr>
        <w:spacing w:before="100" w:beforeAutospacing="1" w:after="100" w:afterAutospacing="1" w:line="240" w:lineRule="auto"/>
        <w:jc w:val="both"/>
        <w:rPr>
          <w:rFonts w:ascii="Cambria" w:eastAsia="Times New Roman" w:hAnsi="Cambria" w:cs="Times New Roman"/>
          <w:sz w:val="24"/>
          <w:szCs w:val="24"/>
          <w:lang w:eastAsia="fr-FR"/>
        </w:rPr>
      </w:pPr>
    </w:p>
    <w:p w:rsidR="00C2495D" w:rsidRPr="00C2495D" w:rsidRDefault="00C2495D" w:rsidP="00C2495D">
      <w:pPr>
        <w:spacing w:before="100" w:beforeAutospacing="1" w:after="100" w:afterAutospacing="1" w:line="240" w:lineRule="auto"/>
        <w:jc w:val="right"/>
        <w:rPr>
          <w:rFonts w:ascii="Cambria" w:eastAsia="Times New Roman" w:hAnsi="Cambria" w:cs="Times New Roman"/>
          <w:i/>
          <w:sz w:val="24"/>
          <w:szCs w:val="24"/>
          <w:lang w:eastAsia="fr-FR"/>
        </w:rPr>
      </w:pPr>
      <w:r w:rsidRPr="00C2495D">
        <w:rPr>
          <w:rFonts w:ascii="Cambria" w:eastAsia="Times New Roman" w:hAnsi="Cambria" w:cs="Times New Roman"/>
          <w:i/>
          <w:sz w:val="24"/>
          <w:szCs w:val="24"/>
          <w:lang w:eastAsia="fr-FR"/>
        </w:rPr>
        <w:t>Version française page suivante.</w:t>
      </w:r>
    </w:p>
    <w:p w:rsidR="00C2495D" w:rsidRDefault="00C2495D">
      <w:pPr>
        <w:rPr>
          <w:rFonts w:ascii="Cambria" w:eastAsia="Times New Roman" w:hAnsi="Cambria" w:cs="Times New Roman"/>
          <w:sz w:val="24"/>
          <w:szCs w:val="24"/>
          <w:lang w:eastAsia="fr-FR"/>
        </w:rPr>
      </w:pPr>
      <w:r>
        <w:rPr>
          <w:rFonts w:ascii="Cambria" w:eastAsia="Times New Roman" w:hAnsi="Cambria" w:cs="Times New Roman"/>
          <w:sz w:val="24"/>
          <w:szCs w:val="24"/>
          <w:lang w:eastAsia="fr-FR"/>
        </w:rPr>
        <w:br w:type="page"/>
      </w:r>
    </w:p>
    <w:p w:rsidR="00C2495D" w:rsidRDefault="00C2495D" w:rsidP="00C2495D">
      <w:pPr>
        <w:tabs>
          <w:tab w:val="center" w:pos="4536"/>
        </w:tabs>
        <w:rPr>
          <w:rFonts w:ascii="Times New Roman" w:hAnsi="Times New Roman" w:cs="Times New Roman"/>
          <w:sz w:val="24"/>
          <w:szCs w:val="24"/>
        </w:rPr>
      </w:pPr>
      <w:r>
        <w:rPr>
          <w:rFonts w:ascii="Times New Roman" w:hAnsi="Times New Roman" w:cs="Times New Roman"/>
          <w:sz w:val="24"/>
          <w:szCs w:val="24"/>
        </w:rPr>
        <w:lastRenderedPageBreak/>
        <w:tab/>
        <w:t>Les « exemples impossibles » dans les manuels de microéconomie : quelle(s) justification(s) ?</w:t>
      </w:r>
    </w:p>
    <w:p w:rsidR="00C2495D" w:rsidRPr="00CF443C" w:rsidRDefault="00C2495D" w:rsidP="00C2495D">
      <w:pPr>
        <w:ind w:left="2124"/>
        <w:rPr>
          <w:rFonts w:ascii="Times New Roman" w:hAnsi="Times New Roman" w:cs="Times New Roman"/>
          <w:sz w:val="24"/>
          <w:szCs w:val="24"/>
        </w:rPr>
      </w:pPr>
      <w:r>
        <w:rPr>
          <w:rFonts w:ascii="Times New Roman" w:hAnsi="Times New Roman" w:cs="Times New Roman"/>
          <w:sz w:val="24"/>
          <w:szCs w:val="24"/>
        </w:rPr>
        <w:t>Emmanuelle Bénicourt</w:t>
      </w:r>
      <w:r w:rsidRPr="00CF443C">
        <w:rPr>
          <w:rFonts w:ascii="Times New Roman" w:hAnsi="Times New Roman" w:cs="Times New Roman"/>
          <w:sz w:val="24"/>
          <w:szCs w:val="24"/>
        </w:rPr>
        <w:t xml:space="preserve"> (</w:t>
      </w:r>
      <w:r>
        <w:rPr>
          <w:rFonts w:ascii="Times New Roman" w:hAnsi="Times New Roman" w:cs="Times New Roman"/>
          <w:sz w:val="24"/>
          <w:szCs w:val="24"/>
        </w:rPr>
        <w:t>CRIISEA</w:t>
      </w:r>
      <w:r w:rsidRPr="00CF443C">
        <w:rPr>
          <w:rFonts w:ascii="Times New Roman" w:hAnsi="Times New Roman" w:cs="Times New Roman"/>
          <w:sz w:val="24"/>
          <w:szCs w:val="24"/>
        </w:rPr>
        <w:t xml:space="preserve">, U. </w:t>
      </w:r>
      <w:r>
        <w:rPr>
          <w:rFonts w:ascii="Times New Roman" w:hAnsi="Times New Roman" w:cs="Times New Roman"/>
          <w:sz w:val="24"/>
          <w:szCs w:val="24"/>
        </w:rPr>
        <w:t>Picardie Jules Verne</w:t>
      </w:r>
      <w:r w:rsidRPr="00CF443C">
        <w:rPr>
          <w:rFonts w:ascii="Times New Roman" w:hAnsi="Times New Roman" w:cs="Times New Roman"/>
          <w:sz w:val="24"/>
          <w:szCs w:val="24"/>
        </w:rPr>
        <w:t xml:space="preserve">) </w:t>
      </w:r>
    </w:p>
    <w:p w:rsidR="00C2495D" w:rsidRPr="00CF443C" w:rsidRDefault="00C2495D" w:rsidP="00C2495D">
      <w:pPr>
        <w:ind w:left="2124"/>
        <w:rPr>
          <w:rFonts w:ascii="Times New Roman" w:hAnsi="Times New Roman" w:cs="Times New Roman"/>
          <w:sz w:val="24"/>
          <w:szCs w:val="24"/>
        </w:rPr>
      </w:pPr>
      <w:r w:rsidRPr="00CF443C">
        <w:rPr>
          <w:rFonts w:ascii="Times New Roman" w:hAnsi="Times New Roman" w:cs="Times New Roman"/>
          <w:sz w:val="24"/>
          <w:szCs w:val="24"/>
        </w:rPr>
        <w:t>Sophie Jallais (PHARE, U. Paris 1 – Panthéon-Sorbonne)</w:t>
      </w:r>
    </w:p>
    <w:p w:rsidR="00C2495D" w:rsidRPr="00CF443C" w:rsidRDefault="00C2495D" w:rsidP="00C2495D">
      <w:pPr>
        <w:rPr>
          <w:rFonts w:ascii="Times New Roman" w:hAnsi="Times New Roman" w:cs="Times New Roman"/>
          <w:sz w:val="24"/>
          <w:szCs w:val="24"/>
        </w:rPr>
      </w:pPr>
    </w:p>
    <w:p w:rsidR="00C2495D" w:rsidRPr="00F31A89" w:rsidRDefault="00C2495D" w:rsidP="00C2495D">
      <w:pPr>
        <w:jc w:val="both"/>
        <w:rPr>
          <w:rFonts w:ascii="Times New Roman" w:hAnsi="Times New Roman" w:cs="Times New Roman"/>
          <w:sz w:val="24"/>
          <w:szCs w:val="24"/>
        </w:rPr>
      </w:pPr>
    </w:p>
    <w:p w:rsidR="00C2495D" w:rsidRPr="00C2495D" w:rsidRDefault="00C2495D" w:rsidP="00C2495D">
      <w:pPr>
        <w:jc w:val="both"/>
        <w:rPr>
          <w:rFonts w:ascii="Cambria" w:hAnsi="Cambria" w:cs="Times New Roman"/>
          <w:sz w:val="24"/>
          <w:szCs w:val="24"/>
        </w:rPr>
      </w:pPr>
      <w:r w:rsidRPr="00C2495D">
        <w:rPr>
          <w:rFonts w:ascii="Cambria" w:hAnsi="Cambria" w:cs="Times New Roman"/>
          <w:sz w:val="24"/>
          <w:szCs w:val="24"/>
        </w:rPr>
        <w:t>Dans les manuels de microéconomie, la principale raison d’être des exemples est, évidemment,</w:t>
      </w:r>
      <w:r w:rsidRPr="00C2495D">
        <w:rPr>
          <w:rFonts w:ascii="Cambria" w:hAnsi="Cambria" w:cs="Times New Roman"/>
          <w:i/>
          <w:sz w:val="24"/>
          <w:szCs w:val="24"/>
        </w:rPr>
        <w:t xml:space="preserve"> </w:t>
      </w:r>
      <w:r w:rsidRPr="00C2495D">
        <w:rPr>
          <w:rFonts w:ascii="Cambria" w:hAnsi="Cambria" w:cs="Times New Roman"/>
          <w:sz w:val="24"/>
          <w:szCs w:val="24"/>
        </w:rPr>
        <w:t xml:space="preserve">pédagogique, puisque ceux-ci sont le plus souvent utilisés pour introduire, expliquer, illustrer, donner corps à un concept, une hypothèse, un programme ou un modèle. Mais leur intérêt est beaucoup plus large. Si l’on en croit Kuhn, les « exemples » (en grec </w:t>
      </w:r>
      <w:r w:rsidRPr="00C2495D">
        <w:rPr>
          <w:rFonts w:ascii="Cambria" w:hAnsi="Cambria" w:cs="Times New Roman"/>
          <w:i/>
          <w:iCs/>
          <w:sz w:val="24"/>
          <w:szCs w:val="24"/>
        </w:rPr>
        <w:t>paradeigma</w:t>
      </w:r>
      <w:r w:rsidRPr="00C2495D">
        <w:rPr>
          <w:rFonts w:ascii="Cambria" w:hAnsi="Cambria" w:cs="Times New Roman"/>
          <w:iCs/>
          <w:sz w:val="24"/>
          <w:szCs w:val="24"/>
        </w:rPr>
        <w:t xml:space="preserve">) des manuels sont, en effet, </w:t>
      </w:r>
      <w:r w:rsidRPr="00C2495D">
        <w:rPr>
          <w:rFonts w:ascii="Cambria" w:hAnsi="Cambria" w:cs="Times New Roman"/>
          <w:sz w:val="24"/>
          <w:szCs w:val="24"/>
        </w:rPr>
        <w:t>ce par quoi les étudiants non seulement c</w:t>
      </w:r>
      <w:r w:rsidRPr="00C2495D">
        <w:rPr>
          <w:rFonts w:ascii="Cambria" w:hAnsi="Cambria"/>
          <w:sz w:val="24"/>
          <w:szCs w:val="24"/>
        </w:rPr>
        <w:t>omprennent les théories et en apprécient la portée, mais également incorporent tacitement la façon de regarder le monde « autorisée » par un groupe de scientifiques</w:t>
      </w:r>
      <w:r w:rsidRPr="00C2495D">
        <w:rPr>
          <w:rFonts w:ascii="Cambria" w:hAnsi="Cambria" w:cs="Times New Roman"/>
          <w:sz w:val="24"/>
          <w:szCs w:val="24"/>
        </w:rPr>
        <w:t xml:space="preserve"> (Kuhn</w:t>
      </w:r>
      <w:r w:rsidRPr="00C2495D">
        <w:rPr>
          <w:rFonts w:ascii="Cambria" w:hAnsi="Cambria"/>
          <w:sz w:val="24"/>
          <w:szCs w:val="24"/>
        </w:rPr>
        <w:t>, 1990 [1974], p. 408 ou</w:t>
      </w:r>
      <w:r w:rsidRPr="00C2495D">
        <w:rPr>
          <w:rFonts w:ascii="Cambria" w:hAnsi="Cambria" w:cs="Times New Roman"/>
          <w:sz w:val="24"/>
          <w:szCs w:val="24"/>
        </w:rPr>
        <w:t xml:space="preserve"> 1983 [1970], p. 258), au </w:t>
      </w:r>
      <w:r w:rsidRPr="00C2495D">
        <w:rPr>
          <w:rFonts w:ascii="Cambria" w:hAnsi="Cambria"/>
          <w:sz w:val="24"/>
          <w:szCs w:val="24"/>
        </w:rPr>
        <w:t>point qu’ils révèleraient, selon lui, la « structure fine des groupes de scientifiques » (Kuhn, 1983 [1970], p. 254).</w:t>
      </w:r>
    </w:p>
    <w:p w:rsidR="00C2495D" w:rsidRPr="00C2495D" w:rsidRDefault="00C2495D" w:rsidP="00C2495D">
      <w:pPr>
        <w:jc w:val="both"/>
        <w:rPr>
          <w:rFonts w:ascii="Cambria" w:hAnsi="Cambria" w:cs="Times New Roman"/>
          <w:sz w:val="24"/>
          <w:szCs w:val="24"/>
        </w:rPr>
      </w:pPr>
      <w:r w:rsidRPr="00C2495D">
        <w:rPr>
          <w:rFonts w:ascii="Cambria" w:hAnsi="Cambria" w:cs="Times New Roman"/>
          <w:sz w:val="24"/>
          <w:szCs w:val="24"/>
        </w:rPr>
        <w:t xml:space="preserve">Dans ce travail, on se focalisera plus particulièrement sur les exemples </w:t>
      </w:r>
      <w:r w:rsidRPr="00C2495D">
        <w:rPr>
          <w:rFonts w:ascii="Cambria" w:hAnsi="Cambria" w:cs="Times New Roman"/>
          <w:i/>
          <w:sz w:val="24"/>
          <w:szCs w:val="24"/>
        </w:rPr>
        <w:t>a priori</w:t>
      </w:r>
      <w:r w:rsidRPr="00C2495D">
        <w:rPr>
          <w:rFonts w:ascii="Cambria" w:hAnsi="Cambria" w:cs="Times New Roman"/>
          <w:sz w:val="24"/>
          <w:szCs w:val="24"/>
        </w:rPr>
        <w:t xml:space="preserve"> « impossibles », soit parce qu’ils décrivent des « mondes impossibles » (Jallais 2018), soit parce qu’ils sont « incompatibles » avec le concept ou l’hypothèse qu’ils sont pourtant censés exemplifier. D’un point de vue pédagogique, l’utilisation de ce type d’exemple constitue </w:t>
      </w:r>
      <w:r w:rsidRPr="00C2495D">
        <w:rPr>
          <w:rFonts w:ascii="Cambria" w:hAnsi="Cambria" w:cs="Times New Roman"/>
          <w:i/>
          <w:sz w:val="24"/>
          <w:szCs w:val="24"/>
        </w:rPr>
        <w:t>a priori</w:t>
      </w:r>
      <w:r w:rsidRPr="00C2495D">
        <w:rPr>
          <w:rFonts w:ascii="Cambria" w:hAnsi="Cambria" w:cs="Times New Roman"/>
          <w:sz w:val="24"/>
          <w:szCs w:val="24"/>
        </w:rPr>
        <w:t xml:space="preserve"> une aberration. A moins qu’ils ne soient présentés comme tels, ils ne peuvent permettre aux étudiants de comprendre un concept ou une hypothèse et encore moins d’en apprécier la portée. </w:t>
      </w:r>
    </w:p>
    <w:p w:rsidR="00C2495D" w:rsidRPr="00C2495D" w:rsidRDefault="00C2495D" w:rsidP="00C2495D">
      <w:pPr>
        <w:jc w:val="both"/>
        <w:rPr>
          <w:rFonts w:ascii="Cambria" w:hAnsi="Cambria" w:cs="Times New Roman"/>
          <w:sz w:val="24"/>
          <w:szCs w:val="24"/>
        </w:rPr>
      </w:pPr>
      <w:r w:rsidRPr="00C2495D">
        <w:rPr>
          <w:rFonts w:ascii="Cambria" w:hAnsi="Cambria" w:cs="Times New Roman"/>
          <w:i/>
          <w:sz w:val="24"/>
          <w:szCs w:val="24"/>
        </w:rPr>
        <w:t>On étudiera les rhétoriques des exemples impossibles dans les principaux manuels de micro</w:t>
      </w:r>
      <w:r w:rsidR="001C397B">
        <w:rPr>
          <w:rFonts w:ascii="Cambria" w:hAnsi="Cambria" w:cs="Times New Roman"/>
          <w:i/>
          <w:sz w:val="24"/>
          <w:szCs w:val="24"/>
        </w:rPr>
        <w:t>é</w:t>
      </w:r>
      <w:r w:rsidRPr="00C2495D">
        <w:rPr>
          <w:rFonts w:ascii="Cambria" w:hAnsi="Cambria" w:cs="Times New Roman"/>
          <w:i/>
          <w:sz w:val="24"/>
          <w:szCs w:val="24"/>
        </w:rPr>
        <w:t>conomie.</w:t>
      </w:r>
      <w:r w:rsidRPr="00C2495D">
        <w:rPr>
          <w:rFonts w:ascii="Cambria" w:hAnsi="Cambria" w:cs="Times New Roman"/>
          <w:sz w:val="24"/>
          <w:szCs w:val="24"/>
        </w:rPr>
        <w:t xml:space="preserve"> </w:t>
      </w:r>
      <w:r w:rsidRPr="00C2495D">
        <w:rPr>
          <w:rFonts w:ascii="Cambria" w:hAnsi="Cambria" w:cs="Times New Roman"/>
          <w:i/>
          <w:sz w:val="24"/>
          <w:szCs w:val="24"/>
        </w:rPr>
        <w:t xml:space="preserve"> </w:t>
      </w:r>
    </w:p>
    <w:p w:rsidR="00C2495D" w:rsidRPr="00C2495D" w:rsidRDefault="00C2495D" w:rsidP="00C2495D">
      <w:pPr>
        <w:jc w:val="both"/>
        <w:rPr>
          <w:rFonts w:ascii="Cambria" w:hAnsi="Cambria" w:cs="Times New Roman"/>
          <w:sz w:val="24"/>
          <w:szCs w:val="24"/>
        </w:rPr>
      </w:pPr>
      <w:r w:rsidRPr="00C2495D">
        <w:rPr>
          <w:rFonts w:ascii="Cambria" w:hAnsi="Cambria" w:cs="Times New Roman"/>
          <w:sz w:val="24"/>
          <w:szCs w:val="24"/>
        </w:rPr>
        <w:t>On se concentrera sur les manuels de microéconomie les plus « reconnus » (best sellers, top 10 des classements,…) : ceux de Mankiw, de Krugman &amp; Wells, de McConnell, Brue &amp; Flynn,  de Cowen &amp; Tabarrok, de Pindyck &amp; Rubinfeld, de Varian, par exemple.</w:t>
      </w:r>
    </w:p>
    <w:p w:rsidR="00C2495D" w:rsidRPr="00C2495D" w:rsidRDefault="00C2495D" w:rsidP="00C2495D">
      <w:pPr>
        <w:jc w:val="both"/>
        <w:rPr>
          <w:rFonts w:ascii="Cambria" w:hAnsi="Cambria" w:cs="Times New Roman"/>
          <w:sz w:val="24"/>
          <w:szCs w:val="24"/>
        </w:rPr>
      </w:pPr>
      <w:r w:rsidRPr="00C2495D">
        <w:rPr>
          <w:rFonts w:ascii="Cambria" w:hAnsi="Cambria" w:cs="Times New Roman"/>
          <w:sz w:val="24"/>
          <w:szCs w:val="24"/>
        </w:rPr>
        <w:t xml:space="preserve">On étudiera en particulier la façon dont les « exemples impossibles » sont présentés. Sont-ils utilisés à des moments spécifiques de la présentation ? Quelle(s) place(s) y occupent-ils ? Sont-ils présentés comme tels ? Le cas échéant, leur « impossibilité » est-elle l’objet de commentaires (précautions ou justifications) particuliers, et de quelles natures sont ces précautions ou justifications ? Quel(s) rôle(s) ces exemples </w:t>
      </w:r>
      <w:r w:rsidR="000301DD">
        <w:rPr>
          <w:rFonts w:ascii="Cambria" w:hAnsi="Cambria" w:cs="Times New Roman"/>
          <w:sz w:val="24"/>
          <w:szCs w:val="24"/>
        </w:rPr>
        <w:t xml:space="preserve">jouent-ils </w:t>
      </w:r>
      <w:bookmarkStart w:id="0" w:name="_GoBack"/>
      <w:bookmarkEnd w:id="0"/>
      <w:r w:rsidRPr="00C2495D">
        <w:rPr>
          <w:rFonts w:ascii="Cambria" w:hAnsi="Cambria" w:cs="Times New Roman"/>
          <w:sz w:val="24"/>
          <w:szCs w:val="24"/>
        </w:rPr>
        <w:t xml:space="preserve">dans la présentation ? De quels messages sont-ils porteurs ? En particulier, disent-ils quelque chose que la théorie ne dit pas ? </w:t>
      </w:r>
    </w:p>
    <w:p w:rsidR="00C2495D" w:rsidRPr="00C2495D" w:rsidRDefault="00C2495D" w:rsidP="00337CD4">
      <w:pPr>
        <w:spacing w:before="100" w:beforeAutospacing="1" w:after="100" w:afterAutospacing="1" w:line="240" w:lineRule="auto"/>
        <w:jc w:val="both"/>
        <w:rPr>
          <w:rFonts w:ascii="Cambria" w:eastAsia="Times New Roman" w:hAnsi="Cambria" w:cs="Times New Roman"/>
          <w:sz w:val="24"/>
          <w:szCs w:val="24"/>
          <w:lang w:eastAsia="fr-FR"/>
        </w:rPr>
      </w:pPr>
    </w:p>
    <w:p w:rsidR="00CD51BA" w:rsidRPr="00C2495D" w:rsidRDefault="00CD51BA">
      <w:pPr>
        <w:rPr>
          <w:rFonts w:ascii="Cambria" w:hAnsi="Cambria"/>
        </w:rPr>
      </w:pPr>
    </w:p>
    <w:sectPr w:rsidR="00CD51BA" w:rsidRPr="00C24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le benicourt">
    <w15:presenceInfo w15:providerId="Windows Live" w15:userId="38da4aae84458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D4"/>
    <w:rsid w:val="00004A38"/>
    <w:rsid w:val="000301DD"/>
    <w:rsid w:val="00050F0D"/>
    <w:rsid w:val="000B60DB"/>
    <w:rsid w:val="001C397B"/>
    <w:rsid w:val="001D3573"/>
    <w:rsid w:val="00337CD4"/>
    <w:rsid w:val="00383B3E"/>
    <w:rsid w:val="00A63F60"/>
    <w:rsid w:val="00A82973"/>
    <w:rsid w:val="00B65BC7"/>
    <w:rsid w:val="00C2495D"/>
    <w:rsid w:val="00CD51BA"/>
    <w:rsid w:val="00D0254E"/>
    <w:rsid w:val="00D82E8E"/>
    <w:rsid w:val="00F07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5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5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5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3909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UP1</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benicourt</dc:creator>
  <cp:lastModifiedBy>Sophie</cp:lastModifiedBy>
  <cp:revision>6</cp:revision>
  <dcterms:created xsi:type="dcterms:W3CDTF">2019-01-27T15:29:00Z</dcterms:created>
  <dcterms:modified xsi:type="dcterms:W3CDTF">2019-01-27T15:40:00Z</dcterms:modified>
</cp:coreProperties>
</file>